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E2" w:rsidRPr="004B3AB3" w:rsidRDefault="00486580" w:rsidP="00360EE2">
      <w:pPr>
        <w:rPr>
          <w:rStyle w:val="Strk"/>
          <w:rFonts w:ascii="Arial" w:hAnsi="Arial" w:cs="Arial"/>
          <w:b w:val="0"/>
          <w:sz w:val="28"/>
          <w:szCs w:val="28"/>
          <w:bdr w:val="none" w:sz="0" w:space="0" w:color="auto" w:frame="1"/>
          <w:shd w:val="clear" w:color="auto" w:fill="FFFFFF"/>
          <w:lang w:val="en-US"/>
        </w:rPr>
      </w:pPr>
      <w:r w:rsidRPr="004B3AB3">
        <w:rPr>
          <w:rFonts w:ascii="Arial" w:hAnsi="Arial" w:cs="Arial"/>
          <w:b/>
          <w:sz w:val="28"/>
          <w:szCs w:val="28"/>
          <w:lang w:val="en-US"/>
        </w:rPr>
        <w:t>EU C</w:t>
      </w:r>
      <w:r w:rsidR="00DB4E1E" w:rsidRPr="004B3AB3">
        <w:rPr>
          <w:rFonts w:ascii="Arial" w:hAnsi="Arial" w:cs="Arial"/>
          <w:b/>
          <w:sz w:val="28"/>
          <w:szCs w:val="28"/>
          <w:lang w:val="en-US"/>
        </w:rPr>
        <w:t>la</w:t>
      </w:r>
      <w:r w:rsidR="00360EE2" w:rsidRPr="004B3AB3">
        <w:rPr>
          <w:rFonts w:ascii="Arial" w:hAnsi="Arial" w:cs="Arial"/>
          <w:b/>
          <w:sz w:val="28"/>
          <w:szCs w:val="28"/>
          <w:lang w:val="en-US"/>
        </w:rPr>
        <w:t>rifies the</w:t>
      </w:r>
      <w:r w:rsidRPr="004B3AB3">
        <w:rPr>
          <w:rFonts w:ascii="Arial" w:hAnsi="Arial" w:cs="Arial"/>
          <w:b/>
          <w:sz w:val="28"/>
          <w:szCs w:val="28"/>
          <w:lang w:val="en-US"/>
        </w:rPr>
        <w:t xml:space="preserve"> D</w:t>
      </w:r>
      <w:r w:rsidR="00360EE2" w:rsidRPr="004B3AB3">
        <w:rPr>
          <w:rFonts w:ascii="Arial" w:hAnsi="Arial" w:cs="Arial"/>
          <w:b/>
          <w:sz w:val="28"/>
          <w:szCs w:val="28"/>
          <w:lang w:val="en-US"/>
        </w:rPr>
        <w:t xml:space="preserve">efinition of </w:t>
      </w:r>
      <w:r w:rsidRPr="004B3AB3">
        <w:rPr>
          <w:rStyle w:val="Strk"/>
          <w:rFonts w:ascii="Arial" w:hAnsi="Arial" w:cs="Arial"/>
          <w:sz w:val="28"/>
          <w:szCs w:val="28"/>
          <w:bdr w:val="none" w:sz="0" w:space="0" w:color="auto" w:frame="1"/>
          <w:shd w:val="clear" w:color="auto" w:fill="FFFFFF"/>
          <w:lang w:val="en-US"/>
        </w:rPr>
        <w:t>Collective R</w:t>
      </w:r>
      <w:r w:rsidR="00360EE2" w:rsidRPr="004B3AB3">
        <w:rPr>
          <w:rStyle w:val="Strk"/>
          <w:rFonts w:ascii="Arial" w:hAnsi="Arial" w:cs="Arial"/>
          <w:sz w:val="28"/>
          <w:szCs w:val="28"/>
          <w:bdr w:val="none" w:sz="0" w:space="0" w:color="auto" w:frame="1"/>
          <w:shd w:val="clear" w:color="auto" w:fill="FFFFFF"/>
          <w:lang w:val="en-US"/>
        </w:rPr>
        <w:t>edundancies</w:t>
      </w:r>
    </w:p>
    <w:p w:rsidR="00360EE2" w:rsidRPr="004B3AB3" w:rsidRDefault="00360EE2" w:rsidP="00360EE2">
      <w:pPr>
        <w:rPr>
          <w:rStyle w:val="Strk"/>
          <w:rFonts w:ascii="Arial" w:hAnsi="Arial" w:cs="Arial"/>
          <w:bdr w:val="none" w:sz="0" w:space="0" w:color="auto" w:frame="1"/>
          <w:shd w:val="clear" w:color="auto" w:fill="FFFFFF"/>
          <w:lang w:val="en-US"/>
        </w:rPr>
      </w:pPr>
      <w:r w:rsidRPr="004B3AB3">
        <w:rPr>
          <w:rStyle w:val="Strk"/>
          <w:rFonts w:ascii="Arial" w:hAnsi="Arial" w:cs="Arial"/>
          <w:bdr w:val="none" w:sz="0" w:space="0" w:color="auto" w:frame="1"/>
          <w:shd w:val="clear" w:color="auto" w:fill="FFFFFF"/>
          <w:lang w:val="en-US"/>
        </w:rPr>
        <w:t xml:space="preserve">The European Court of Justice has in two recent cases </w:t>
      </w:r>
      <w:r w:rsidR="00486580" w:rsidRPr="004B3AB3">
        <w:rPr>
          <w:rStyle w:val="Strk"/>
          <w:rFonts w:ascii="Arial" w:hAnsi="Arial" w:cs="Arial"/>
          <w:bdr w:val="none" w:sz="0" w:space="0" w:color="auto" w:frame="1"/>
          <w:shd w:val="clear" w:color="auto" w:fill="FFFFFF"/>
          <w:lang w:val="en-US"/>
        </w:rPr>
        <w:t>decided on the definition of “collective redundancies”, which is crucial for whether the rules on massive layoffs are to be followed in connection with a round of layoffs. The Court clarifies how the word “company” is to be interpret</w:t>
      </w:r>
      <w:r w:rsidR="004B3AB3">
        <w:rPr>
          <w:rStyle w:val="Strk"/>
          <w:rFonts w:ascii="Arial" w:hAnsi="Arial" w:cs="Arial"/>
          <w:bdr w:val="none" w:sz="0" w:space="0" w:color="auto" w:frame="1"/>
          <w:shd w:val="clear" w:color="auto" w:fill="FFFFFF"/>
          <w:lang w:val="en-US"/>
        </w:rPr>
        <w:t>ed</w:t>
      </w:r>
      <w:r w:rsidR="00687854" w:rsidRPr="004B3AB3">
        <w:rPr>
          <w:rStyle w:val="Strk"/>
          <w:rFonts w:ascii="Arial" w:hAnsi="Arial" w:cs="Arial"/>
          <w:bdr w:val="none" w:sz="0" w:space="0" w:color="auto" w:frame="1"/>
          <w:shd w:val="clear" w:color="auto" w:fill="FFFFFF"/>
          <w:lang w:val="en-US"/>
        </w:rPr>
        <w:t xml:space="preserve"> and whether fixed-term </w:t>
      </w:r>
      <w:r w:rsidR="004B3AB3">
        <w:rPr>
          <w:rStyle w:val="Strk"/>
          <w:rFonts w:ascii="Arial" w:hAnsi="Arial" w:cs="Arial"/>
          <w:bdr w:val="none" w:sz="0" w:space="0" w:color="auto" w:frame="1"/>
          <w:shd w:val="clear" w:color="auto" w:fill="FFFFFF"/>
          <w:lang w:val="en-US"/>
        </w:rPr>
        <w:t>employees</w:t>
      </w:r>
      <w:r w:rsidR="004B3AB3" w:rsidRPr="004B3AB3">
        <w:rPr>
          <w:rStyle w:val="Strk"/>
          <w:rFonts w:ascii="Arial" w:hAnsi="Arial" w:cs="Arial"/>
          <w:bdr w:val="none" w:sz="0" w:space="0" w:color="auto" w:frame="1"/>
          <w:shd w:val="clear" w:color="auto" w:fill="FFFFFF"/>
          <w:lang w:val="en-US"/>
        </w:rPr>
        <w:t xml:space="preserve"> </w:t>
      </w:r>
      <w:r w:rsidR="00687854" w:rsidRPr="004B3AB3">
        <w:rPr>
          <w:rStyle w:val="Strk"/>
          <w:rFonts w:ascii="Arial" w:hAnsi="Arial" w:cs="Arial"/>
          <w:bdr w:val="none" w:sz="0" w:space="0" w:color="auto" w:frame="1"/>
          <w:shd w:val="clear" w:color="auto" w:fill="FFFFFF"/>
          <w:lang w:val="en-US"/>
        </w:rPr>
        <w:t>are included.</w:t>
      </w:r>
      <w:r w:rsidR="00486580" w:rsidRPr="004B3AB3">
        <w:rPr>
          <w:rStyle w:val="Strk"/>
          <w:rFonts w:ascii="Arial" w:hAnsi="Arial" w:cs="Arial"/>
          <w:bdr w:val="none" w:sz="0" w:space="0" w:color="auto" w:frame="1"/>
          <w:shd w:val="clear" w:color="auto" w:fill="FFFFFF"/>
          <w:lang w:val="en-US"/>
        </w:rPr>
        <w:t xml:space="preserve"> </w:t>
      </w:r>
    </w:p>
    <w:p w:rsidR="00360EE2" w:rsidRPr="004B3AB3" w:rsidRDefault="002D114A"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 xml:space="preserve">Two companies decided to reduce the staff level due to financial difficulties. </w:t>
      </w:r>
    </w:p>
    <w:p w:rsidR="002D114A" w:rsidRPr="004B3AB3" w:rsidRDefault="00562FB6"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One of the cases concerned the English chain of stores Bonmarché</w:t>
      </w:r>
      <w:r w:rsidR="00577B68" w:rsidRPr="004B3AB3">
        <w:rPr>
          <w:rStyle w:val="Strk"/>
          <w:rFonts w:ascii="Arial" w:hAnsi="Arial" w:cs="Arial"/>
          <w:b w:val="0"/>
          <w:bdr w:val="none" w:sz="0" w:space="0" w:color="auto" w:frame="1"/>
          <w:shd w:val="clear" w:color="auto" w:fill="FFFFFF"/>
          <w:lang w:val="en-US"/>
        </w:rPr>
        <w:t xml:space="preserve"> with</w:t>
      </w:r>
      <w:r w:rsidRPr="004B3AB3">
        <w:rPr>
          <w:rStyle w:val="Strk"/>
          <w:rFonts w:ascii="Arial" w:hAnsi="Arial" w:cs="Arial"/>
          <w:b w:val="0"/>
          <w:bdr w:val="none" w:sz="0" w:space="0" w:color="auto" w:frame="1"/>
          <w:shd w:val="clear" w:color="auto" w:fill="FFFFFF"/>
          <w:lang w:val="en-US"/>
        </w:rPr>
        <w:t xml:space="preserve"> 20 out of almost 400 shops placed in Northern Ireland. Bonmarché was proclaimed insolvent and acquired by another company</w:t>
      </w:r>
      <w:r w:rsidR="00577B68" w:rsidRPr="004B3AB3">
        <w:rPr>
          <w:rStyle w:val="Strk"/>
          <w:rFonts w:ascii="Arial" w:hAnsi="Arial" w:cs="Arial"/>
          <w:b w:val="0"/>
          <w:bdr w:val="none" w:sz="0" w:space="0" w:color="auto" w:frame="1"/>
          <w:shd w:val="clear" w:color="auto" w:fill="FFFFFF"/>
          <w:lang w:val="en-US"/>
        </w:rPr>
        <w:t>, which immediately started a restructuring, which meant that a number of shops were closed down and the staff level was reduced.</w:t>
      </w:r>
    </w:p>
    <w:p w:rsidR="00B9386A" w:rsidRPr="004B3AB3" w:rsidRDefault="00080F5B"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T</w:t>
      </w:r>
      <w:r w:rsidR="00B9386A" w:rsidRPr="004B3AB3">
        <w:rPr>
          <w:rStyle w:val="Strk"/>
          <w:rFonts w:ascii="Arial" w:hAnsi="Arial" w:cs="Arial"/>
          <w:b w:val="0"/>
          <w:bdr w:val="none" w:sz="0" w:space="0" w:color="auto" w:frame="1"/>
          <w:shd w:val="clear" w:color="auto" w:fill="FFFFFF"/>
          <w:lang w:val="en-US"/>
        </w:rPr>
        <w:t>he company did not follow the</w:t>
      </w:r>
      <w:r w:rsidRPr="004B3AB3">
        <w:rPr>
          <w:rStyle w:val="Strk"/>
          <w:rFonts w:ascii="Arial" w:hAnsi="Arial" w:cs="Arial"/>
          <w:b w:val="0"/>
          <w:bdr w:val="none" w:sz="0" w:space="0" w:color="auto" w:frame="1"/>
          <w:shd w:val="clear" w:color="auto" w:fill="FFFFFF"/>
          <w:lang w:val="en-US"/>
        </w:rPr>
        <w:t xml:space="preserve"> information- and consulting procedure that applies for collective redundancies, when it carried out the round of layoffs</w:t>
      </w:r>
      <w:r w:rsidR="004B1789" w:rsidRPr="004B3AB3">
        <w:rPr>
          <w:rStyle w:val="Strk"/>
          <w:rFonts w:ascii="Arial" w:hAnsi="Arial" w:cs="Arial"/>
          <w:b w:val="0"/>
          <w:bdr w:val="none" w:sz="0" w:space="0" w:color="auto" w:frame="1"/>
          <w:shd w:val="clear" w:color="auto" w:fill="FFFFFF"/>
          <w:lang w:val="en-US"/>
        </w:rPr>
        <w:t xml:space="preserve"> in the individual stores</w:t>
      </w:r>
      <w:r w:rsidRPr="004B3AB3">
        <w:rPr>
          <w:rStyle w:val="Strk"/>
          <w:rFonts w:ascii="Arial" w:hAnsi="Arial" w:cs="Arial"/>
          <w:b w:val="0"/>
          <w:bdr w:val="none" w:sz="0" w:space="0" w:color="auto" w:frame="1"/>
          <w:shd w:val="clear" w:color="auto" w:fill="FFFFFF"/>
          <w:lang w:val="en-US"/>
        </w:rPr>
        <w:t>.</w:t>
      </w:r>
      <w:r w:rsidR="004B1789" w:rsidRPr="004B3AB3">
        <w:rPr>
          <w:rStyle w:val="Strk"/>
          <w:rFonts w:ascii="Arial" w:hAnsi="Arial" w:cs="Arial"/>
          <w:b w:val="0"/>
          <w:bdr w:val="none" w:sz="0" w:space="0" w:color="auto" w:frame="1"/>
          <w:shd w:val="clear" w:color="auto" w:fill="FFFFFF"/>
          <w:lang w:val="en-US"/>
        </w:rPr>
        <w:t xml:space="preserve"> Fo</w:t>
      </w:r>
      <w:r w:rsidR="00507BBA" w:rsidRPr="004B3AB3">
        <w:rPr>
          <w:rStyle w:val="Strk"/>
          <w:rFonts w:ascii="Arial" w:hAnsi="Arial" w:cs="Arial"/>
          <w:b w:val="0"/>
          <w:bdr w:val="none" w:sz="0" w:space="0" w:color="auto" w:frame="1"/>
          <w:shd w:val="clear" w:color="auto" w:fill="FFFFFF"/>
          <w:lang w:val="en-US"/>
        </w:rPr>
        <w:t>r that reason, fo</w:t>
      </w:r>
      <w:r w:rsidR="004B1789" w:rsidRPr="004B3AB3">
        <w:rPr>
          <w:rStyle w:val="Strk"/>
          <w:rFonts w:ascii="Arial" w:hAnsi="Arial" w:cs="Arial"/>
          <w:b w:val="0"/>
          <w:bdr w:val="none" w:sz="0" w:space="0" w:color="auto" w:frame="1"/>
          <w:shd w:val="clear" w:color="auto" w:fill="FFFFFF"/>
          <w:lang w:val="en-US"/>
        </w:rPr>
        <w:t xml:space="preserve">ur of the terminated employees </w:t>
      </w:r>
      <w:r w:rsidR="00864F86" w:rsidRPr="004B3AB3">
        <w:rPr>
          <w:rStyle w:val="Strk"/>
          <w:rFonts w:ascii="Arial" w:hAnsi="Arial" w:cs="Arial"/>
          <w:b w:val="0"/>
          <w:bdr w:val="none" w:sz="0" w:space="0" w:color="auto" w:frame="1"/>
          <w:shd w:val="clear" w:color="auto" w:fill="FFFFFF"/>
          <w:lang w:val="en-US"/>
        </w:rPr>
        <w:t xml:space="preserve">took legal action </w:t>
      </w:r>
      <w:r w:rsidR="00AB5C2C" w:rsidRPr="004B3AB3">
        <w:rPr>
          <w:rStyle w:val="Strk"/>
          <w:rFonts w:ascii="Arial" w:hAnsi="Arial" w:cs="Arial"/>
          <w:b w:val="0"/>
          <w:bdr w:val="none" w:sz="0" w:space="0" w:color="auto" w:frame="1"/>
          <w:shd w:val="clear" w:color="auto" w:fill="FFFFFF"/>
          <w:lang w:val="en-US"/>
        </w:rPr>
        <w:t>before</w:t>
      </w:r>
      <w:r w:rsidR="00864F86" w:rsidRPr="004B3AB3">
        <w:rPr>
          <w:rStyle w:val="Strk"/>
          <w:rFonts w:ascii="Arial" w:hAnsi="Arial" w:cs="Arial"/>
          <w:b w:val="0"/>
          <w:bdr w:val="none" w:sz="0" w:space="0" w:color="auto" w:frame="1"/>
          <w:shd w:val="clear" w:color="auto" w:fill="FFFFFF"/>
          <w:lang w:val="en-US"/>
        </w:rPr>
        <w:t xml:space="preserve"> the </w:t>
      </w:r>
      <w:r w:rsidR="004B3AB3">
        <w:rPr>
          <w:rStyle w:val="Strk"/>
          <w:rFonts w:ascii="Arial" w:hAnsi="Arial" w:cs="Arial"/>
          <w:b w:val="0"/>
          <w:bdr w:val="none" w:sz="0" w:space="0" w:color="auto" w:frame="1"/>
          <w:shd w:val="clear" w:color="auto" w:fill="FFFFFF"/>
          <w:lang w:val="en-US"/>
        </w:rPr>
        <w:t xml:space="preserve">UK </w:t>
      </w:r>
      <w:r w:rsidR="00864F86" w:rsidRPr="004B3AB3">
        <w:rPr>
          <w:rStyle w:val="Strk"/>
          <w:rFonts w:ascii="Arial" w:hAnsi="Arial" w:cs="Arial"/>
          <w:b w:val="0"/>
          <w:bdr w:val="none" w:sz="0" w:space="0" w:color="auto" w:frame="1"/>
          <w:shd w:val="clear" w:color="auto" w:fill="FFFFFF"/>
          <w:lang w:val="en-US"/>
        </w:rPr>
        <w:t xml:space="preserve">national courts. </w:t>
      </w:r>
      <w:r w:rsidR="00B9386A" w:rsidRPr="004B3AB3">
        <w:rPr>
          <w:rStyle w:val="Strk"/>
          <w:rFonts w:ascii="Arial" w:hAnsi="Arial" w:cs="Arial"/>
          <w:b w:val="0"/>
          <w:bdr w:val="none" w:sz="0" w:space="0" w:color="auto" w:frame="1"/>
          <w:shd w:val="clear" w:color="auto" w:fill="FFFFFF"/>
          <w:lang w:val="en-US"/>
        </w:rPr>
        <w:t xml:space="preserve"> </w:t>
      </w:r>
    </w:p>
    <w:p w:rsidR="002D114A" w:rsidRPr="004B3AB3" w:rsidRDefault="00864F86"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The other case concerned the Spanish company Nexea, which was employed with different kinds of postal services. The company had branches in Madrid and Barcelona, but felt it necessary to</w:t>
      </w:r>
      <w:r w:rsidR="007516B5" w:rsidRPr="004B3AB3">
        <w:rPr>
          <w:rStyle w:val="Strk"/>
          <w:rFonts w:ascii="Arial" w:hAnsi="Arial" w:cs="Arial"/>
          <w:b w:val="0"/>
          <w:bdr w:val="none" w:sz="0" w:space="0" w:color="auto" w:frame="1"/>
          <w:shd w:val="clear" w:color="auto" w:fill="FFFFFF"/>
          <w:lang w:val="en-US"/>
        </w:rPr>
        <w:t xml:space="preserve"> merge the two branches and to terminate a number of employees. </w:t>
      </w:r>
      <w:r w:rsidRPr="004B3AB3">
        <w:rPr>
          <w:rStyle w:val="Strk"/>
          <w:rFonts w:ascii="Arial" w:hAnsi="Arial" w:cs="Arial"/>
          <w:b w:val="0"/>
          <w:bdr w:val="none" w:sz="0" w:space="0" w:color="auto" w:frame="1"/>
          <w:shd w:val="clear" w:color="auto" w:fill="FFFFFF"/>
          <w:lang w:val="en-US"/>
        </w:rPr>
        <w:t xml:space="preserve"> </w:t>
      </w:r>
    </w:p>
    <w:p w:rsidR="00CC549B" w:rsidRPr="004B3AB3" w:rsidRDefault="00CC549B"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In the period between the two rounds of layoffs, a number of fixed-term appointments expired. The fixed-term appointments were not included in the total number of dismissals.</w:t>
      </w:r>
      <w:r w:rsidR="00EA0542" w:rsidRPr="004B3AB3">
        <w:rPr>
          <w:rStyle w:val="Strk"/>
          <w:rFonts w:ascii="Arial" w:hAnsi="Arial" w:cs="Arial"/>
          <w:b w:val="0"/>
          <w:bdr w:val="none" w:sz="0" w:space="0" w:color="auto" w:frame="1"/>
          <w:shd w:val="clear" w:color="auto" w:fill="FFFFFF"/>
          <w:lang w:val="en-US"/>
        </w:rPr>
        <w:t xml:space="preserve"> For that reason, the company </w:t>
      </w:r>
      <w:r w:rsidR="004A1563" w:rsidRPr="004B3AB3">
        <w:rPr>
          <w:rStyle w:val="Strk"/>
          <w:rFonts w:ascii="Arial" w:hAnsi="Arial" w:cs="Arial"/>
          <w:b w:val="0"/>
          <w:bdr w:val="none" w:sz="0" w:space="0" w:color="auto" w:frame="1"/>
          <w:shd w:val="clear" w:color="auto" w:fill="FFFFFF"/>
          <w:lang w:val="en-US"/>
        </w:rPr>
        <w:t xml:space="preserve">did not </w:t>
      </w:r>
      <w:r w:rsidR="00EA0542" w:rsidRPr="004B3AB3">
        <w:rPr>
          <w:rStyle w:val="Strk"/>
          <w:rFonts w:ascii="Arial" w:hAnsi="Arial" w:cs="Arial"/>
          <w:b w:val="0"/>
          <w:bdr w:val="none" w:sz="0" w:space="0" w:color="auto" w:frame="1"/>
          <w:shd w:val="clear" w:color="auto" w:fill="FFFFFF"/>
          <w:lang w:val="en-US"/>
        </w:rPr>
        <w:t>follow</w:t>
      </w:r>
      <w:r w:rsidR="00DF5EE2" w:rsidRPr="004B3AB3">
        <w:rPr>
          <w:rStyle w:val="Strk"/>
          <w:rFonts w:ascii="Arial" w:hAnsi="Arial" w:cs="Arial"/>
          <w:b w:val="0"/>
          <w:bdr w:val="none" w:sz="0" w:space="0" w:color="auto" w:frame="1"/>
          <w:shd w:val="clear" w:color="auto" w:fill="FFFFFF"/>
          <w:lang w:val="en-US"/>
        </w:rPr>
        <w:t xml:space="preserve"> </w:t>
      </w:r>
      <w:r w:rsidR="00EA0542" w:rsidRPr="004B3AB3">
        <w:rPr>
          <w:rStyle w:val="Strk"/>
          <w:rFonts w:ascii="Arial" w:hAnsi="Arial" w:cs="Arial"/>
          <w:b w:val="0"/>
          <w:bdr w:val="none" w:sz="0" w:space="0" w:color="auto" w:frame="1"/>
          <w:shd w:val="clear" w:color="auto" w:fill="FFFFFF"/>
          <w:lang w:val="en-US"/>
        </w:rPr>
        <w:t xml:space="preserve">the </w:t>
      </w:r>
      <w:r w:rsidR="00DF5EE2" w:rsidRPr="004B3AB3">
        <w:rPr>
          <w:rStyle w:val="Strk"/>
          <w:rFonts w:ascii="Arial" w:hAnsi="Arial" w:cs="Arial"/>
          <w:b w:val="0"/>
          <w:bdr w:val="none" w:sz="0" w:space="0" w:color="auto" w:frame="1"/>
          <w:shd w:val="clear" w:color="auto" w:fill="FFFFFF"/>
          <w:lang w:val="en-US"/>
        </w:rPr>
        <w:t>information- and consulting procedure in</w:t>
      </w:r>
      <w:r w:rsidR="00AB5C2C" w:rsidRPr="004B3AB3">
        <w:rPr>
          <w:rStyle w:val="Strk"/>
          <w:rFonts w:ascii="Arial" w:hAnsi="Arial" w:cs="Arial"/>
          <w:b w:val="0"/>
          <w:bdr w:val="none" w:sz="0" w:space="0" w:color="auto" w:frame="1"/>
          <w:shd w:val="clear" w:color="auto" w:fill="FFFFFF"/>
          <w:lang w:val="en-US"/>
        </w:rPr>
        <w:t xml:space="preserve"> the</w:t>
      </w:r>
      <w:r w:rsidR="00DF5EE2" w:rsidRPr="004B3AB3">
        <w:rPr>
          <w:rStyle w:val="Strk"/>
          <w:rFonts w:ascii="Arial" w:hAnsi="Arial" w:cs="Arial"/>
          <w:b w:val="0"/>
          <w:bdr w:val="none" w:sz="0" w:space="0" w:color="auto" w:frame="1"/>
          <w:shd w:val="clear" w:color="auto" w:fill="FFFFFF"/>
          <w:lang w:val="en-US"/>
        </w:rPr>
        <w:t xml:space="preserve"> Colle</w:t>
      </w:r>
      <w:r w:rsidR="002772EA" w:rsidRPr="004B3AB3">
        <w:rPr>
          <w:rStyle w:val="Strk"/>
          <w:rFonts w:ascii="Arial" w:hAnsi="Arial" w:cs="Arial"/>
          <w:b w:val="0"/>
          <w:bdr w:val="none" w:sz="0" w:space="0" w:color="auto" w:frame="1"/>
          <w:shd w:val="clear" w:color="auto" w:fill="FFFFFF"/>
          <w:lang w:val="en-US"/>
        </w:rPr>
        <w:t>ctive Dismissal Act</w:t>
      </w:r>
      <w:r w:rsidR="00DF5EE2" w:rsidRPr="004B3AB3">
        <w:rPr>
          <w:rStyle w:val="Strk"/>
          <w:rFonts w:ascii="Arial" w:hAnsi="Arial" w:cs="Arial"/>
          <w:b w:val="0"/>
          <w:bdr w:val="none" w:sz="0" w:space="0" w:color="auto" w:frame="1"/>
          <w:shd w:val="clear" w:color="auto" w:fill="FFFFFF"/>
          <w:lang w:val="en-US"/>
        </w:rPr>
        <w:t>.</w:t>
      </w:r>
      <w:r w:rsidR="00EA0542" w:rsidRPr="004B3AB3">
        <w:rPr>
          <w:rStyle w:val="Strk"/>
          <w:rFonts w:ascii="Arial" w:hAnsi="Arial" w:cs="Arial"/>
          <w:b w:val="0"/>
          <w:bdr w:val="none" w:sz="0" w:space="0" w:color="auto" w:frame="1"/>
          <w:shd w:val="clear" w:color="auto" w:fill="FFFFFF"/>
          <w:lang w:val="en-US"/>
        </w:rPr>
        <w:t xml:space="preserve"> </w:t>
      </w:r>
      <w:r w:rsidR="00AB5C2C" w:rsidRPr="004B3AB3">
        <w:rPr>
          <w:rStyle w:val="Strk"/>
          <w:rFonts w:ascii="Arial" w:hAnsi="Arial" w:cs="Arial"/>
          <w:b w:val="0"/>
          <w:bdr w:val="none" w:sz="0" w:space="0" w:color="auto" w:frame="1"/>
          <w:shd w:val="clear" w:color="auto" w:fill="FFFFFF"/>
          <w:lang w:val="en-US"/>
        </w:rPr>
        <w:t xml:space="preserve">Consequently, one of the employees sued the employer before the </w:t>
      </w:r>
      <w:r w:rsidR="004B3AB3">
        <w:rPr>
          <w:rStyle w:val="Strk"/>
          <w:rFonts w:ascii="Arial" w:hAnsi="Arial" w:cs="Arial"/>
          <w:b w:val="0"/>
          <w:bdr w:val="none" w:sz="0" w:space="0" w:color="auto" w:frame="1"/>
          <w:shd w:val="clear" w:color="auto" w:fill="FFFFFF"/>
          <w:lang w:val="en-US"/>
        </w:rPr>
        <w:t xml:space="preserve">Spanish </w:t>
      </w:r>
      <w:r w:rsidR="00AB5C2C" w:rsidRPr="004B3AB3">
        <w:rPr>
          <w:rStyle w:val="Strk"/>
          <w:rFonts w:ascii="Arial" w:hAnsi="Arial" w:cs="Arial"/>
          <w:b w:val="0"/>
          <w:bdr w:val="none" w:sz="0" w:space="0" w:color="auto" w:frame="1"/>
          <w:shd w:val="clear" w:color="auto" w:fill="FFFFFF"/>
          <w:lang w:val="en-US"/>
        </w:rPr>
        <w:t>national Court.</w:t>
      </w:r>
      <w:r w:rsidRPr="004B3AB3">
        <w:rPr>
          <w:rStyle w:val="Strk"/>
          <w:rFonts w:ascii="Arial" w:hAnsi="Arial" w:cs="Arial"/>
          <w:b w:val="0"/>
          <w:bdr w:val="none" w:sz="0" w:space="0" w:color="auto" w:frame="1"/>
          <w:shd w:val="clear" w:color="auto" w:fill="FFFFFF"/>
          <w:lang w:val="en-US"/>
        </w:rPr>
        <w:t xml:space="preserve"> </w:t>
      </w:r>
    </w:p>
    <w:p w:rsidR="00BB653B" w:rsidRPr="004B3AB3" w:rsidRDefault="00BB653B"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Subsequently, both cases were forwarded to preliminary reference before the Eur</w:t>
      </w:r>
      <w:r w:rsidR="00E815EF" w:rsidRPr="004B3AB3">
        <w:rPr>
          <w:rStyle w:val="Strk"/>
          <w:rFonts w:ascii="Arial" w:hAnsi="Arial" w:cs="Arial"/>
          <w:b w:val="0"/>
          <w:bdr w:val="none" w:sz="0" w:space="0" w:color="auto" w:frame="1"/>
          <w:shd w:val="clear" w:color="auto" w:fill="FFFFFF"/>
          <w:lang w:val="en-US"/>
        </w:rPr>
        <w:t>opean Court of Justice, which was to deci</w:t>
      </w:r>
      <w:r w:rsidR="00712861" w:rsidRPr="004B3AB3">
        <w:rPr>
          <w:rStyle w:val="Strk"/>
          <w:rFonts w:ascii="Arial" w:hAnsi="Arial" w:cs="Arial"/>
          <w:b w:val="0"/>
          <w:bdr w:val="none" w:sz="0" w:space="0" w:color="auto" w:frame="1"/>
          <w:shd w:val="clear" w:color="auto" w:fill="FFFFFF"/>
          <w:lang w:val="en-US"/>
        </w:rPr>
        <w:t>de on whether the two cases conc</w:t>
      </w:r>
      <w:r w:rsidR="00E815EF" w:rsidRPr="004B3AB3">
        <w:rPr>
          <w:rStyle w:val="Strk"/>
          <w:rFonts w:ascii="Arial" w:hAnsi="Arial" w:cs="Arial"/>
          <w:b w:val="0"/>
          <w:bdr w:val="none" w:sz="0" w:space="0" w:color="auto" w:frame="1"/>
          <w:shd w:val="clear" w:color="auto" w:fill="FFFFFF"/>
          <w:lang w:val="en-US"/>
        </w:rPr>
        <w:t>erned “collective redundancies”.</w:t>
      </w:r>
      <w:r w:rsidR="002772EA" w:rsidRPr="004B3AB3">
        <w:rPr>
          <w:rStyle w:val="Strk"/>
          <w:rFonts w:ascii="Arial" w:hAnsi="Arial" w:cs="Arial"/>
          <w:b w:val="0"/>
          <w:bdr w:val="none" w:sz="0" w:space="0" w:color="auto" w:frame="1"/>
          <w:shd w:val="clear" w:color="auto" w:fill="FFFFFF"/>
          <w:lang w:val="en-US"/>
        </w:rPr>
        <w:t xml:space="preserve"> F</w:t>
      </w:r>
      <w:r w:rsidR="00712861" w:rsidRPr="004B3AB3">
        <w:rPr>
          <w:rStyle w:val="Strk"/>
          <w:rFonts w:ascii="Arial" w:hAnsi="Arial" w:cs="Arial"/>
          <w:b w:val="0"/>
          <w:bdr w:val="none" w:sz="0" w:space="0" w:color="auto" w:frame="1"/>
          <w:shd w:val="clear" w:color="auto" w:fill="FFFFFF"/>
          <w:lang w:val="en-US"/>
        </w:rPr>
        <w:t>r</w:t>
      </w:r>
      <w:r w:rsidR="002772EA" w:rsidRPr="004B3AB3">
        <w:rPr>
          <w:rStyle w:val="Strk"/>
          <w:rFonts w:ascii="Arial" w:hAnsi="Arial" w:cs="Arial"/>
          <w:b w:val="0"/>
          <w:bdr w:val="none" w:sz="0" w:space="0" w:color="auto" w:frame="1"/>
          <w:shd w:val="clear" w:color="auto" w:fill="FFFFFF"/>
          <w:lang w:val="en-US"/>
        </w:rPr>
        <w:t>o</w:t>
      </w:r>
      <w:r w:rsidR="00712861" w:rsidRPr="004B3AB3">
        <w:rPr>
          <w:rStyle w:val="Strk"/>
          <w:rFonts w:ascii="Arial" w:hAnsi="Arial" w:cs="Arial"/>
          <w:b w:val="0"/>
          <w:bdr w:val="none" w:sz="0" w:space="0" w:color="auto" w:frame="1"/>
          <w:shd w:val="clear" w:color="auto" w:fill="FFFFFF"/>
          <w:lang w:val="en-US"/>
        </w:rPr>
        <w:t xml:space="preserve">m a Danish perspective, the judgement from the European Court of Justice is interesting, because the Danish Collective Dismissal Act is built on the EU directive on collective redundancies. </w:t>
      </w:r>
    </w:p>
    <w:p w:rsidR="0006248E" w:rsidRPr="004B3AB3" w:rsidRDefault="0006248E" w:rsidP="00360EE2">
      <w:pPr>
        <w:rPr>
          <w:rStyle w:val="Strk"/>
          <w:rFonts w:ascii="Arial" w:hAnsi="Arial" w:cs="Arial"/>
          <w:bdr w:val="none" w:sz="0" w:space="0" w:color="auto" w:frame="1"/>
          <w:shd w:val="clear" w:color="auto" w:fill="FFFFFF"/>
          <w:lang w:val="en-US"/>
        </w:rPr>
      </w:pPr>
      <w:r w:rsidRPr="004B3AB3">
        <w:rPr>
          <w:rStyle w:val="Strk"/>
          <w:rFonts w:ascii="Arial" w:hAnsi="Arial" w:cs="Arial"/>
          <w:bdr w:val="none" w:sz="0" w:space="0" w:color="auto" w:frame="1"/>
          <w:shd w:val="clear" w:color="auto" w:fill="FFFFFF"/>
          <w:lang w:val="en-US"/>
        </w:rPr>
        <w:t>What is a “company”?</w:t>
      </w:r>
    </w:p>
    <w:p w:rsidR="0006248E" w:rsidRPr="004B3AB3" w:rsidRDefault="004A1563"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The definition of “</w:t>
      </w:r>
      <w:r w:rsidR="0006248E" w:rsidRPr="004B3AB3">
        <w:rPr>
          <w:rStyle w:val="Strk"/>
          <w:rFonts w:ascii="Arial" w:hAnsi="Arial" w:cs="Arial"/>
          <w:b w:val="0"/>
          <w:bdr w:val="none" w:sz="0" w:space="0" w:color="auto" w:frame="1"/>
          <w:shd w:val="clear" w:color="auto" w:fill="FFFFFF"/>
          <w:lang w:val="en-US"/>
        </w:rPr>
        <w:t>collective redundancies”</w:t>
      </w:r>
      <w:r w:rsidRPr="004B3AB3">
        <w:rPr>
          <w:rStyle w:val="Strk"/>
          <w:rFonts w:ascii="Arial" w:hAnsi="Arial" w:cs="Arial"/>
          <w:b w:val="0"/>
          <w:bdr w:val="none" w:sz="0" w:space="0" w:color="auto" w:frame="1"/>
          <w:shd w:val="clear" w:color="auto" w:fill="FFFFFF"/>
          <w:lang w:val="en-US"/>
        </w:rPr>
        <w:t xml:space="preserve"> </w:t>
      </w:r>
      <w:r w:rsidR="004B3AB3">
        <w:rPr>
          <w:rStyle w:val="Strk"/>
          <w:rFonts w:ascii="Arial" w:hAnsi="Arial" w:cs="Arial"/>
          <w:b w:val="0"/>
          <w:bdr w:val="none" w:sz="0" w:space="0" w:color="auto" w:frame="1"/>
          <w:shd w:val="clear" w:color="auto" w:fill="FFFFFF"/>
          <w:lang w:val="en-US"/>
        </w:rPr>
        <w:t>requires</w:t>
      </w:r>
      <w:r w:rsidR="004B3AB3" w:rsidRPr="004B3AB3">
        <w:rPr>
          <w:rStyle w:val="Strk"/>
          <w:rFonts w:ascii="Arial" w:hAnsi="Arial" w:cs="Arial"/>
          <w:b w:val="0"/>
          <w:bdr w:val="none" w:sz="0" w:space="0" w:color="auto" w:frame="1"/>
          <w:shd w:val="clear" w:color="auto" w:fill="FFFFFF"/>
          <w:lang w:val="en-US"/>
        </w:rPr>
        <w:t xml:space="preserve"> </w:t>
      </w:r>
      <w:r w:rsidR="0006248E" w:rsidRPr="004B3AB3">
        <w:rPr>
          <w:rStyle w:val="Strk"/>
          <w:rFonts w:ascii="Arial" w:hAnsi="Arial" w:cs="Arial"/>
          <w:b w:val="0"/>
          <w:bdr w:val="none" w:sz="0" w:space="0" w:color="auto" w:frame="1"/>
          <w:shd w:val="clear" w:color="auto" w:fill="FFFFFF"/>
          <w:lang w:val="en-US"/>
        </w:rPr>
        <w:t xml:space="preserve">at least </w:t>
      </w:r>
      <w:r w:rsidRPr="004B3AB3">
        <w:rPr>
          <w:rStyle w:val="Strk"/>
          <w:rFonts w:ascii="Arial" w:hAnsi="Arial" w:cs="Arial"/>
          <w:b w:val="0"/>
          <w:bdr w:val="none" w:sz="0" w:space="0" w:color="auto" w:frame="1"/>
          <w:shd w:val="clear" w:color="auto" w:fill="FFFFFF"/>
          <w:lang w:val="en-US"/>
        </w:rPr>
        <w:t>20 employees in the company and</w:t>
      </w:r>
      <w:r w:rsidR="0006248E" w:rsidRPr="004B3AB3">
        <w:rPr>
          <w:rStyle w:val="Strk"/>
          <w:rFonts w:ascii="Arial" w:hAnsi="Arial" w:cs="Arial"/>
          <w:b w:val="0"/>
          <w:bdr w:val="none" w:sz="0" w:space="0" w:color="auto" w:frame="1"/>
          <w:shd w:val="clear" w:color="auto" w:fill="FFFFFF"/>
          <w:lang w:val="en-US"/>
        </w:rPr>
        <w:t xml:space="preserve"> at least 10 </w:t>
      </w:r>
      <w:r w:rsidR="002772EA" w:rsidRPr="004B3AB3">
        <w:rPr>
          <w:rStyle w:val="Strk"/>
          <w:rFonts w:ascii="Arial" w:hAnsi="Arial" w:cs="Arial"/>
          <w:b w:val="0"/>
          <w:bdr w:val="none" w:sz="0" w:space="0" w:color="auto" w:frame="1"/>
          <w:shd w:val="clear" w:color="auto" w:fill="FFFFFF"/>
          <w:lang w:val="en-US"/>
        </w:rPr>
        <w:t>dismissals</w:t>
      </w:r>
      <w:r w:rsidR="0006248E" w:rsidRPr="004B3AB3">
        <w:rPr>
          <w:rStyle w:val="Strk"/>
          <w:rFonts w:ascii="Arial" w:hAnsi="Arial" w:cs="Arial"/>
          <w:b w:val="0"/>
          <w:bdr w:val="none" w:sz="0" w:space="0" w:color="auto" w:frame="1"/>
          <w:shd w:val="clear" w:color="auto" w:fill="FFFFFF"/>
          <w:lang w:val="en-US"/>
        </w:rPr>
        <w:t xml:space="preserve"> within a </w:t>
      </w:r>
      <w:r w:rsidR="004B3AB3">
        <w:rPr>
          <w:rStyle w:val="Strk"/>
          <w:rFonts w:ascii="Arial" w:hAnsi="Arial" w:cs="Arial"/>
          <w:b w:val="0"/>
          <w:bdr w:val="none" w:sz="0" w:space="0" w:color="auto" w:frame="1"/>
          <w:shd w:val="clear" w:color="auto" w:fill="FFFFFF"/>
          <w:lang w:val="en-US"/>
        </w:rPr>
        <w:t xml:space="preserve">defined </w:t>
      </w:r>
      <w:r w:rsidR="0006248E" w:rsidRPr="004B3AB3">
        <w:rPr>
          <w:rStyle w:val="Strk"/>
          <w:rFonts w:ascii="Arial" w:hAnsi="Arial" w:cs="Arial"/>
          <w:b w:val="0"/>
          <w:bdr w:val="none" w:sz="0" w:space="0" w:color="auto" w:frame="1"/>
          <w:shd w:val="clear" w:color="auto" w:fill="FFFFFF"/>
          <w:lang w:val="en-US"/>
        </w:rPr>
        <w:t xml:space="preserve">time period. Against this background, it is crucial to clarify </w:t>
      </w:r>
      <w:r w:rsidR="00BB1BF0" w:rsidRPr="004B3AB3">
        <w:rPr>
          <w:rStyle w:val="Strk"/>
          <w:rFonts w:ascii="Arial" w:hAnsi="Arial" w:cs="Arial"/>
          <w:b w:val="0"/>
          <w:bdr w:val="none" w:sz="0" w:space="0" w:color="auto" w:frame="1"/>
          <w:shd w:val="clear" w:color="auto" w:fill="FFFFFF"/>
          <w:lang w:val="en-US"/>
        </w:rPr>
        <w:t>the definition of the word company.</w:t>
      </w:r>
      <w:r w:rsidR="0006248E" w:rsidRPr="004B3AB3">
        <w:rPr>
          <w:rStyle w:val="Strk"/>
          <w:rFonts w:ascii="Arial" w:hAnsi="Arial" w:cs="Arial"/>
          <w:b w:val="0"/>
          <w:bdr w:val="none" w:sz="0" w:space="0" w:color="auto" w:frame="1"/>
          <w:shd w:val="clear" w:color="auto" w:fill="FFFFFF"/>
          <w:lang w:val="en-US"/>
        </w:rPr>
        <w:t xml:space="preserve">  </w:t>
      </w:r>
    </w:p>
    <w:p w:rsidR="00723BB9" w:rsidRPr="004B3AB3" w:rsidRDefault="00BB1BF0"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 xml:space="preserve">In both cases, the European Court of Justice </w:t>
      </w:r>
      <w:r w:rsidR="009472F5" w:rsidRPr="004B3AB3">
        <w:rPr>
          <w:rStyle w:val="Strk"/>
          <w:rFonts w:ascii="Arial" w:hAnsi="Arial" w:cs="Arial"/>
          <w:b w:val="0"/>
          <w:bdr w:val="none" w:sz="0" w:space="0" w:color="auto" w:frame="1"/>
          <w:shd w:val="clear" w:color="auto" w:fill="FFFFFF"/>
          <w:lang w:val="en-US"/>
        </w:rPr>
        <w:t>ruled that a company is defined as the operating unit in which the employee is place</w:t>
      </w:r>
      <w:r w:rsidR="002772EA" w:rsidRPr="004B3AB3">
        <w:rPr>
          <w:rStyle w:val="Strk"/>
          <w:rFonts w:ascii="Arial" w:hAnsi="Arial" w:cs="Arial"/>
          <w:b w:val="0"/>
          <w:bdr w:val="none" w:sz="0" w:space="0" w:color="auto" w:frame="1"/>
          <w:shd w:val="clear" w:color="auto" w:fill="FFFFFF"/>
          <w:lang w:val="en-US"/>
        </w:rPr>
        <w:t>d</w:t>
      </w:r>
      <w:r w:rsidR="009472F5" w:rsidRPr="004B3AB3">
        <w:rPr>
          <w:rStyle w:val="Strk"/>
          <w:rFonts w:ascii="Arial" w:hAnsi="Arial" w:cs="Arial"/>
          <w:b w:val="0"/>
          <w:bdr w:val="none" w:sz="0" w:space="0" w:color="auto" w:frame="1"/>
          <w:shd w:val="clear" w:color="auto" w:fill="FFFFFF"/>
          <w:lang w:val="en-US"/>
        </w:rPr>
        <w:t xml:space="preserve"> to perform his job. The European Court of Justice specified that an operating unit for instance can be an individual operating unit with a certain kind of permanent stabile character, which has specific tasks and commends a whole of employees and technical instruments.</w:t>
      </w:r>
      <w:r w:rsidR="00E24706" w:rsidRPr="004B3AB3">
        <w:rPr>
          <w:rStyle w:val="Strk"/>
          <w:rFonts w:ascii="Arial" w:hAnsi="Arial" w:cs="Arial"/>
          <w:b w:val="0"/>
          <w:bdr w:val="none" w:sz="0" w:space="0" w:color="auto" w:frame="1"/>
          <w:shd w:val="clear" w:color="auto" w:fill="FFFFFF"/>
          <w:lang w:val="en-US"/>
        </w:rPr>
        <w:t xml:space="preserve"> Furthermore, the operating unit </w:t>
      </w:r>
      <w:r w:rsidR="00F51F9E" w:rsidRPr="004B3AB3">
        <w:rPr>
          <w:rStyle w:val="Strk"/>
          <w:rFonts w:ascii="Arial" w:hAnsi="Arial" w:cs="Arial"/>
          <w:b w:val="0"/>
          <w:bdr w:val="none" w:sz="0" w:space="0" w:color="auto" w:frame="1"/>
          <w:shd w:val="clear" w:color="auto" w:fill="FFFFFF"/>
          <w:lang w:val="en-US"/>
        </w:rPr>
        <w:t xml:space="preserve">may have an organizational structure to execute the tasks. </w:t>
      </w:r>
    </w:p>
    <w:p w:rsidR="00BB1BF0" w:rsidRPr="004B3AB3" w:rsidRDefault="00723BB9"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 xml:space="preserve">It is without importance whether the operating unit has a management, which is permitted to </w:t>
      </w:r>
      <w:r w:rsidR="00F84E51" w:rsidRPr="004B3AB3">
        <w:rPr>
          <w:rStyle w:val="Strk"/>
          <w:rFonts w:ascii="Arial" w:hAnsi="Arial" w:cs="Arial"/>
          <w:b w:val="0"/>
          <w:bdr w:val="none" w:sz="0" w:space="0" w:color="auto" w:frame="1"/>
          <w:shd w:val="clear" w:color="auto" w:fill="FFFFFF"/>
          <w:lang w:val="en-US"/>
        </w:rPr>
        <w:t xml:space="preserve">execute collective redundancies, or if the unit has a legal, economic, financial, administrative or technological independence.  </w:t>
      </w:r>
      <w:r w:rsidR="00F51F9E" w:rsidRPr="004B3AB3">
        <w:rPr>
          <w:rStyle w:val="Strk"/>
          <w:rFonts w:ascii="Arial" w:hAnsi="Arial" w:cs="Arial"/>
          <w:b w:val="0"/>
          <w:bdr w:val="none" w:sz="0" w:space="0" w:color="auto" w:frame="1"/>
          <w:shd w:val="clear" w:color="auto" w:fill="FFFFFF"/>
          <w:lang w:val="en-US"/>
        </w:rPr>
        <w:t xml:space="preserve">  </w:t>
      </w:r>
    </w:p>
    <w:p w:rsidR="00CE0E34" w:rsidRPr="004B3AB3" w:rsidRDefault="001E497C"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lastRenderedPageBreak/>
        <w:t xml:space="preserve">Thus, </w:t>
      </w:r>
      <w:r w:rsidR="00CE0E34" w:rsidRPr="004B3AB3">
        <w:rPr>
          <w:rStyle w:val="Strk"/>
          <w:rFonts w:ascii="Arial" w:hAnsi="Arial" w:cs="Arial"/>
          <w:b w:val="0"/>
          <w:bdr w:val="none" w:sz="0" w:space="0" w:color="auto" w:frame="1"/>
          <w:shd w:val="clear" w:color="auto" w:fill="FFFFFF"/>
          <w:lang w:val="en-US"/>
        </w:rPr>
        <w:t xml:space="preserve">the duty to consult depends on the number of employees who are dismissed within the same operating unit. This is of importance for companies with more business premises within the same corporation.  </w:t>
      </w:r>
    </w:p>
    <w:p w:rsidR="00A162DA" w:rsidRPr="004B3AB3" w:rsidRDefault="00A162DA"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At this point, the ruling does not conflict with the principles in the</w:t>
      </w:r>
      <w:r w:rsidR="004B3AB3">
        <w:rPr>
          <w:rStyle w:val="Strk"/>
          <w:rFonts w:ascii="Arial" w:hAnsi="Arial" w:cs="Arial"/>
          <w:b w:val="0"/>
          <w:bdr w:val="none" w:sz="0" w:space="0" w:color="auto" w:frame="1"/>
          <w:shd w:val="clear" w:color="auto" w:fill="FFFFFF"/>
          <w:lang w:val="en-US"/>
        </w:rPr>
        <w:t xml:space="preserve"> </w:t>
      </w:r>
      <w:r w:rsidR="00075A3B">
        <w:rPr>
          <w:rStyle w:val="Strk"/>
          <w:rFonts w:ascii="Arial" w:hAnsi="Arial" w:cs="Arial"/>
          <w:b w:val="0"/>
          <w:bdr w:val="none" w:sz="0" w:space="0" w:color="auto" w:frame="1"/>
          <w:shd w:val="clear" w:color="auto" w:fill="FFFFFF"/>
          <w:lang w:val="en-US"/>
        </w:rPr>
        <w:t xml:space="preserve">Danish </w:t>
      </w:r>
      <w:r w:rsidR="004B3AB3">
        <w:rPr>
          <w:rStyle w:val="Strk"/>
          <w:rFonts w:ascii="Arial" w:hAnsi="Arial" w:cs="Arial"/>
          <w:b w:val="0"/>
          <w:bdr w:val="none" w:sz="0" w:space="0" w:color="auto" w:frame="1"/>
          <w:shd w:val="clear" w:color="auto" w:fill="FFFFFF"/>
          <w:lang w:val="en-US"/>
        </w:rPr>
        <w:t>administrative order on calculation</w:t>
      </w:r>
      <w:bookmarkStart w:id="0" w:name="_GoBack"/>
      <w:bookmarkEnd w:id="0"/>
      <w:r w:rsidRPr="004B3AB3">
        <w:rPr>
          <w:rStyle w:val="Strk"/>
          <w:rFonts w:ascii="Arial" w:hAnsi="Arial" w:cs="Arial"/>
          <w:b w:val="0"/>
          <w:bdr w:val="none" w:sz="0" w:space="0" w:color="auto" w:frame="1"/>
          <w:shd w:val="clear" w:color="auto" w:fill="FFFFFF"/>
          <w:lang w:val="en-US"/>
        </w:rPr>
        <w:t xml:space="preserve">, which defines how to calculate a company with more operating units in Denmark. </w:t>
      </w:r>
      <w:r w:rsidR="00BD58D5" w:rsidRPr="004B3AB3">
        <w:rPr>
          <w:rStyle w:val="Strk"/>
          <w:rFonts w:ascii="Arial" w:hAnsi="Arial" w:cs="Arial"/>
          <w:b w:val="0"/>
          <w:bdr w:val="none" w:sz="0" w:space="0" w:color="auto" w:frame="1"/>
          <w:shd w:val="clear" w:color="auto" w:fill="FFFFFF"/>
          <w:lang w:val="en-US"/>
        </w:rPr>
        <w:t xml:space="preserve">In the </w:t>
      </w:r>
      <w:r w:rsidR="00075A3B">
        <w:rPr>
          <w:rStyle w:val="Strk"/>
          <w:rFonts w:ascii="Arial" w:hAnsi="Arial" w:cs="Arial"/>
          <w:b w:val="0"/>
          <w:bdr w:val="none" w:sz="0" w:space="0" w:color="auto" w:frame="1"/>
          <w:shd w:val="clear" w:color="auto" w:fill="FFFFFF"/>
          <w:lang w:val="en-US"/>
        </w:rPr>
        <w:t>Danish administrative order on calculation</w:t>
      </w:r>
      <w:r w:rsidR="00BD58D5" w:rsidRPr="004B3AB3">
        <w:rPr>
          <w:rStyle w:val="Strk"/>
          <w:rFonts w:ascii="Arial" w:hAnsi="Arial" w:cs="Arial"/>
          <w:b w:val="0"/>
          <w:bdr w:val="none" w:sz="0" w:space="0" w:color="auto" w:frame="1"/>
          <w:shd w:val="clear" w:color="auto" w:fill="FFFFFF"/>
          <w:lang w:val="en-US"/>
        </w:rPr>
        <w:t xml:space="preserve"> it is emphasized whether or not the operating units are placed in the same</w:t>
      </w:r>
      <w:r w:rsidR="00075A3B">
        <w:rPr>
          <w:rStyle w:val="Strk"/>
          <w:rFonts w:ascii="Arial" w:hAnsi="Arial" w:cs="Arial"/>
          <w:b w:val="0"/>
          <w:bdr w:val="none" w:sz="0" w:space="0" w:color="auto" w:frame="1"/>
          <w:shd w:val="clear" w:color="auto" w:fill="FFFFFF"/>
          <w:lang w:val="en-US"/>
        </w:rPr>
        <w:t xml:space="preserve"> labour market region</w:t>
      </w:r>
      <w:r w:rsidR="00BD58D5" w:rsidRPr="004B3AB3">
        <w:rPr>
          <w:rStyle w:val="Strk"/>
          <w:rFonts w:ascii="Arial" w:hAnsi="Arial" w:cs="Arial"/>
          <w:b w:val="0"/>
          <w:bdr w:val="none" w:sz="0" w:space="0" w:color="auto" w:frame="1"/>
          <w:shd w:val="clear" w:color="auto" w:fill="FFFFFF"/>
          <w:lang w:val="en-US"/>
        </w:rPr>
        <w:t xml:space="preserve">. If they are placed in the same </w:t>
      </w:r>
      <w:r w:rsidR="00075A3B">
        <w:rPr>
          <w:rStyle w:val="Strk"/>
          <w:rFonts w:ascii="Arial" w:hAnsi="Arial" w:cs="Arial"/>
          <w:b w:val="0"/>
          <w:bdr w:val="none" w:sz="0" w:space="0" w:color="auto" w:frame="1"/>
          <w:shd w:val="clear" w:color="auto" w:fill="FFFFFF"/>
          <w:lang w:val="en-US"/>
        </w:rPr>
        <w:t>labour market region</w:t>
      </w:r>
      <w:r w:rsidR="00BD58D5" w:rsidRPr="004B3AB3">
        <w:rPr>
          <w:rStyle w:val="Strk"/>
          <w:rFonts w:ascii="Arial" w:hAnsi="Arial" w:cs="Arial"/>
          <w:b w:val="0"/>
          <w:bdr w:val="none" w:sz="0" w:space="0" w:color="auto" w:frame="1"/>
          <w:shd w:val="clear" w:color="auto" w:fill="FFFFFF"/>
          <w:lang w:val="en-US"/>
        </w:rPr>
        <w:t xml:space="preserve">, they are to be counted as a whole due to the existing Danish laws.  </w:t>
      </w:r>
    </w:p>
    <w:p w:rsidR="00BD58D5" w:rsidRPr="004B3AB3" w:rsidRDefault="00BD58D5" w:rsidP="00360EE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This principle goes further than the EU directive, but as it is putting the employees in a better position, it is not violating with EU after the latest rulings from the European Court of Justice.</w:t>
      </w:r>
    </w:p>
    <w:p w:rsidR="00BD58D5" w:rsidRPr="004B3AB3" w:rsidRDefault="00BD58D5" w:rsidP="00360EE2">
      <w:pPr>
        <w:rPr>
          <w:rStyle w:val="Strk"/>
          <w:rFonts w:ascii="Arial" w:hAnsi="Arial" w:cs="Arial"/>
          <w:bdr w:val="none" w:sz="0" w:space="0" w:color="auto" w:frame="1"/>
          <w:shd w:val="clear" w:color="auto" w:fill="FFFFFF"/>
          <w:lang w:val="en-US"/>
        </w:rPr>
      </w:pPr>
      <w:r w:rsidRPr="004B3AB3">
        <w:rPr>
          <w:rStyle w:val="Strk"/>
          <w:rFonts w:ascii="Arial" w:hAnsi="Arial" w:cs="Arial"/>
          <w:bdr w:val="none" w:sz="0" w:space="0" w:color="auto" w:frame="1"/>
          <w:shd w:val="clear" w:color="auto" w:fill="FFFFFF"/>
          <w:lang w:val="en-US"/>
        </w:rPr>
        <w:t xml:space="preserve">Fixed-term </w:t>
      </w:r>
      <w:r w:rsidR="00B06B52" w:rsidRPr="004B3AB3">
        <w:rPr>
          <w:rStyle w:val="Strk"/>
          <w:rFonts w:ascii="Arial" w:hAnsi="Arial" w:cs="Arial"/>
          <w:bdr w:val="none" w:sz="0" w:space="0" w:color="auto" w:frame="1"/>
          <w:shd w:val="clear" w:color="auto" w:fill="FFFFFF"/>
          <w:lang w:val="en-US"/>
        </w:rPr>
        <w:t>appointments</w:t>
      </w:r>
    </w:p>
    <w:p w:rsidR="00B06B52" w:rsidRPr="004B3AB3" w:rsidRDefault="00AA45C8" w:rsidP="00B06B5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In the Spanish case, t</w:t>
      </w:r>
      <w:r w:rsidR="00BD58D5" w:rsidRPr="004B3AB3">
        <w:rPr>
          <w:rStyle w:val="Strk"/>
          <w:rFonts w:ascii="Arial" w:hAnsi="Arial" w:cs="Arial"/>
          <w:b w:val="0"/>
          <w:bdr w:val="none" w:sz="0" w:space="0" w:color="auto" w:frame="1"/>
          <w:shd w:val="clear" w:color="auto" w:fill="FFFFFF"/>
          <w:lang w:val="en-US"/>
        </w:rPr>
        <w:t xml:space="preserve">he European Court of Justice also ruled </w:t>
      </w:r>
      <w:r w:rsidR="00791C60" w:rsidRPr="004B3AB3">
        <w:rPr>
          <w:rStyle w:val="Strk"/>
          <w:rFonts w:ascii="Arial" w:hAnsi="Arial" w:cs="Arial"/>
          <w:b w:val="0"/>
          <w:bdr w:val="none" w:sz="0" w:space="0" w:color="auto" w:frame="1"/>
          <w:shd w:val="clear" w:color="auto" w:fill="FFFFFF"/>
          <w:lang w:val="en-US"/>
        </w:rPr>
        <w:t xml:space="preserve">to what extent fixed-term or </w:t>
      </w:r>
      <w:r w:rsidR="00207989">
        <w:rPr>
          <w:rStyle w:val="Strk"/>
          <w:rFonts w:ascii="Arial" w:hAnsi="Arial" w:cs="Arial"/>
          <w:b w:val="0"/>
          <w:bdr w:val="none" w:sz="0" w:space="0" w:color="auto" w:frame="1"/>
          <w:shd w:val="clear" w:color="auto" w:fill="FFFFFF"/>
          <w:lang w:val="en-US"/>
        </w:rPr>
        <w:t>project-based employments</w:t>
      </w:r>
      <w:r w:rsidR="00791C60" w:rsidRPr="004B3AB3">
        <w:rPr>
          <w:rStyle w:val="Strk"/>
          <w:rFonts w:ascii="Arial" w:hAnsi="Arial" w:cs="Arial"/>
          <w:b w:val="0"/>
          <w:bdr w:val="none" w:sz="0" w:space="0" w:color="auto" w:frame="1"/>
          <w:shd w:val="clear" w:color="auto" w:fill="FFFFFF"/>
          <w:lang w:val="en-US"/>
        </w:rPr>
        <w:t xml:space="preserve"> which expired within the relevant period, were to be included in </w:t>
      </w:r>
      <w:r w:rsidR="00022E6A" w:rsidRPr="004B3AB3">
        <w:rPr>
          <w:rStyle w:val="Strk"/>
          <w:rFonts w:ascii="Arial" w:hAnsi="Arial" w:cs="Arial"/>
          <w:b w:val="0"/>
          <w:bdr w:val="none" w:sz="0" w:space="0" w:color="auto" w:frame="1"/>
          <w:shd w:val="clear" w:color="auto" w:fill="FFFFFF"/>
          <w:lang w:val="en-US"/>
        </w:rPr>
        <w:t xml:space="preserve">counting of the number of dismissals. This was of importance regarding the estimation of whether </w:t>
      </w:r>
      <w:r w:rsidR="004A1563" w:rsidRPr="004B3AB3">
        <w:rPr>
          <w:rStyle w:val="Strk"/>
          <w:rFonts w:ascii="Arial" w:hAnsi="Arial" w:cs="Arial"/>
          <w:b w:val="0"/>
          <w:bdr w:val="none" w:sz="0" w:space="0" w:color="auto" w:frame="1"/>
          <w:shd w:val="clear" w:color="auto" w:fill="FFFFFF"/>
          <w:lang w:val="en-US"/>
        </w:rPr>
        <w:t>it was a</w:t>
      </w:r>
      <w:r w:rsidR="00B06B52" w:rsidRPr="004B3AB3">
        <w:rPr>
          <w:rStyle w:val="Strk"/>
          <w:rFonts w:ascii="Arial" w:hAnsi="Arial" w:cs="Arial"/>
          <w:b w:val="0"/>
          <w:bdr w:val="none" w:sz="0" w:space="0" w:color="auto" w:frame="1"/>
          <w:shd w:val="clear" w:color="auto" w:fill="FFFFFF"/>
          <w:lang w:val="en-US"/>
        </w:rPr>
        <w:t xml:space="preserve"> “collective redundancies”.</w:t>
      </w:r>
    </w:p>
    <w:p w:rsidR="008A6AE3" w:rsidRPr="004B3AB3" w:rsidRDefault="00B06B52" w:rsidP="00B06B5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 xml:space="preserve">The European Court of Justice also ruled, that fixed-term </w:t>
      </w:r>
      <w:r w:rsidR="00075A3B">
        <w:rPr>
          <w:rStyle w:val="Strk"/>
          <w:rFonts w:ascii="Arial" w:hAnsi="Arial" w:cs="Arial"/>
          <w:b w:val="0"/>
          <w:bdr w:val="none" w:sz="0" w:space="0" w:color="auto" w:frame="1"/>
          <w:shd w:val="clear" w:color="auto" w:fill="FFFFFF"/>
          <w:lang w:val="en-US"/>
        </w:rPr>
        <w:t xml:space="preserve">employments </w:t>
      </w:r>
      <w:r w:rsidRPr="004B3AB3">
        <w:rPr>
          <w:rStyle w:val="Strk"/>
          <w:rFonts w:ascii="Arial" w:hAnsi="Arial" w:cs="Arial"/>
          <w:b w:val="0"/>
          <w:bdr w:val="none" w:sz="0" w:space="0" w:color="auto" w:frame="1"/>
          <w:shd w:val="clear" w:color="auto" w:fill="FFFFFF"/>
          <w:lang w:val="en-US"/>
        </w:rPr>
        <w:t xml:space="preserve">or </w:t>
      </w:r>
      <w:r w:rsidR="00075A3B">
        <w:rPr>
          <w:rStyle w:val="Strk"/>
          <w:rFonts w:ascii="Arial" w:hAnsi="Arial" w:cs="Arial"/>
          <w:b w:val="0"/>
          <w:bdr w:val="none" w:sz="0" w:space="0" w:color="auto" w:frame="1"/>
          <w:shd w:val="clear" w:color="auto" w:fill="FFFFFF"/>
          <w:lang w:val="en-US"/>
        </w:rPr>
        <w:t>project-based employments</w:t>
      </w:r>
      <w:r w:rsidRPr="004B3AB3">
        <w:rPr>
          <w:rStyle w:val="Strk"/>
          <w:rFonts w:ascii="Arial" w:hAnsi="Arial" w:cs="Arial"/>
          <w:b w:val="0"/>
          <w:bdr w:val="none" w:sz="0" w:space="0" w:color="auto" w:frame="1"/>
          <w:shd w:val="clear" w:color="auto" w:fill="FFFFFF"/>
          <w:lang w:val="en-US"/>
        </w:rPr>
        <w:t>, which expire after the terms in the contract or in which the tasks expire, are not to be included in the adding up of the dismissed employees. On the contrary, fixed-term appointments, which are terminated before expire of the contract,</w:t>
      </w:r>
      <w:r w:rsidR="008A6AE3" w:rsidRPr="004B3AB3">
        <w:rPr>
          <w:rStyle w:val="Strk"/>
          <w:rFonts w:ascii="Arial" w:hAnsi="Arial" w:cs="Arial"/>
          <w:b w:val="0"/>
          <w:bdr w:val="none" w:sz="0" w:space="0" w:color="auto" w:frame="1"/>
          <w:shd w:val="clear" w:color="auto" w:fill="FFFFFF"/>
          <w:lang w:val="en-US"/>
        </w:rPr>
        <w:t xml:space="preserve"> are</w:t>
      </w:r>
      <w:r w:rsidRPr="004B3AB3">
        <w:rPr>
          <w:rStyle w:val="Strk"/>
          <w:rFonts w:ascii="Arial" w:hAnsi="Arial" w:cs="Arial"/>
          <w:b w:val="0"/>
          <w:bdr w:val="none" w:sz="0" w:space="0" w:color="auto" w:frame="1"/>
          <w:shd w:val="clear" w:color="auto" w:fill="FFFFFF"/>
          <w:lang w:val="en-US"/>
        </w:rPr>
        <w:t xml:space="preserve"> to be included in the adding up.</w:t>
      </w:r>
    </w:p>
    <w:p w:rsidR="00B06B52" w:rsidRPr="004B3AB3" w:rsidRDefault="008A6AE3" w:rsidP="00B06B5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 xml:space="preserve">On this point, the European Court of Justice’s ruling is </w:t>
      </w:r>
      <w:r w:rsidR="00075A3B">
        <w:rPr>
          <w:rStyle w:val="Strk"/>
          <w:rFonts w:ascii="Arial" w:hAnsi="Arial" w:cs="Arial"/>
          <w:b w:val="0"/>
          <w:bdr w:val="none" w:sz="0" w:space="0" w:color="auto" w:frame="1"/>
          <w:shd w:val="clear" w:color="auto" w:fill="FFFFFF"/>
          <w:lang w:val="en-US"/>
        </w:rPr>
        <w:t xml:space="preserve">in line with </w:t>
      </w:r>
      <w:r w:rsidR="00990647" w:rsidRPr="004B3AB3">
        <w:rPr>
          <w:rStyle w:val="Strk"/>
          <w:rFonts w:ascii="Arial" w:hAnsi="Arial" w:cs="Arial"/>
          <w:b w:val="0"/>
          <w:bdr w:val="none" w:sz="0" w:space="0" w:color="auto" w:frame="1"/>
          <w:shd w:val="clear" w:color="auto" w:fill="FFFFFF"/>
          <w:lang w:val="en-US"/>
        </w:rPr>
        <w:t xml:space="preserve">the Collective Redundancies Act, which is implemented in Denmark. </w:t>
      </w:r>
      <w:r w:rsidR="00B06B52" w:rsidRPr="004B3AB3">
        <w:rPr>
          <w:rStyle w:val="Strk"/>
          <w:rFonts w:ascii="Arial" w:hAnsi="Arial" w:cs="Arial"/>
          <w:b w:val="0"/>
          <w:bdr w:val="none" w:sz="0" w:space="0" w:color="auto" w:frame="1"/>
          <w:shd w:val="clear" w:color="auto" w:fill="FFFFFF"/>
          <w:lang w:val="en-US"/>
        </w:rPr>
        <w:t xml:space="preserve"> </w:t>
      </w:r>
    </w:p>
    <w:p w:rsidR="003A6F8A" w:rsidRPr="004B3AB3" w:rsidRDefault="003A6F8A" w:rsidP="00B06B52">
      <w:pPr>
        <w:rPr>
          <w:rStyle w:val="Strk"/>
          <w:rFonts w:ascii="Arial" w:hAnsi="Arial" w:cs="Arial"/>
          <w:bdr w:val="none" w:sz="0" w:space="0" w:color="auto" w:frame="1"/>
          <w:shd w:val="clear" w:color="auto" w:fill="FFFFFF"/>
          <w:lang w:val="en-US"/>
        </w:rPr>
      </w:pPr>
      <w:r w:rsidRPr="004B3AB3">
        <w:rPr>
          <w:rStyle w:val="Strk"/>
          <w:rFonts w:ascii="Arial" w:hAnsi="Arial" w:cs="Arial"/>
          <w:bdr w:val="none" w:sz="0" w:space="0" w:color="auto" w:frame="1"/>
          <w:shd w:val="clear" w:color="auto" w:fill="FFFFFF"/>
          <w:lang w:val="en-US"/>
        </w:rPr>
        <w:t>IUNO’s opinion</w:t>
      </w:r>
    </w:p>
    <w:p w:rsidR="003A6F8A" w:rsidRPr="004B3AB3" w:rsidRDefault="003A6F8A" w:rsidP="00B06B5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 xml:space="preserve">IUNO recommends companies to be aware that even small branches or operating units can </w:t>
      </w:r>
      <w:r w:rsidR="00075A3B">
        <w:rPr>
          <w:rStyle w:val="Strk"/>
          <w:rFonts w:ascii="Arial" w:hAnsi="Arial" w:cs="Arial"/>
          <w:b w:val="0"/>
          <w:bdr w:val="none" w:sz="0" w:space="0" w:color="auto" w:frame="1"/>
          <w:shd w:val="clear" w:color="auto" w:fill="FFFFFF"/>
          <w:lang w:val="en-US"/>
        </w:rPr>
        <w:t xml:space="preserve">be considered as </w:t>
      </w:r>
      <w:r w:rsidRPr="004B3AB3">
        <w:rPr>
          <w:rStyle w:val="Strk"/>
          <w:rFonts w:ascii="Arial" w:hAnsi="Arial" w:cs="Arial"/>
          <w:b w:val="0"/>
          <w:bdr w:val="none" w:sz="0" w:space="0" w:color="auto" w:frame="1"/>
          <w:shd w:val="clear" w:color="auto" w:fill="FFFFFF"/>
          <w:lang w:val="en-US"/>
        </w:rPr>
        <w:t xml:space="preserve">a “company” </w:t>
      </w:r>
      <w:r w:rsidR="00075A3B">
        <w:rPr>
          <w:rStyle w:val="Strk"/>
          <w:rFonts w:ascii="Arial" w:hAnsi="Arial" w:cs="Arial"/>
          <w:b w:val="0"/>
          <w:bdr w:val="none" w:sz="0" w:space="0" w:color="auto" w:frame="1"/>
          <w:shd w:val="clear" w:color="auto" w:fill="FFFFFF"/>
          <w:lang w:val="en-US"/>
        </w:rPr>
        <w:t xml:space="preserve">within </w:t>
      </w:r>
      <w:r w:rsidRPr="004B3AB3">
        <w:rPr>
          <w:rStyle w:val="Strk"/>
          <w:rFonts w:ascii="Arial" w:hAnsi="Arial" w:cs="Arial"/>
          <w:b w:val="0"/>
          <w:bdr w:val="none" w:sz="0" w:space="0" w:color="auto" w:frame="1"/>
          <w:shd w:val="clear" w:color="auto" w:fill="FFFFFF"/>
          <w:lang w:val="en-US"/>
        </w:rPr>
        <w:t xml:space="preserve">the Collective Redundancies Act, and that  </w:t>
      </w:r>
      <w:r w:rsidR="00075A3B">
        <w:rPr>
          <w:rStyle w:val="Strk"/>
          <w:rFonts w:ascii="Arial" w:hAnsi="Arial" w:cs="Arial"/>
          <w:b w:val="0"/>
          <w:bdr w:val="none" w:sz="0" w:space="0" w:color="auto" w:frame="1"/>
          <w:shd w:val="clear" w:color="auto" w:fill="FFFFFF"/>
          <w:lang w:val="en-US"/>
        </w:rPr>
        <w:t xml:space="preserve">closing </w:t>
      </w:r>
      <w:r w:rsidRPr="004B3AB3">
        <w:rPr>
          <w:rStyle w:val="Strk"/>
          <w:rFonts w:ascii="Arial" w:hAnsi="Arial" w:cs="Arial"/>
          <w:b w:val="0"/>
          <w:bdr w:val="none" w:sz="0" w:space="0" w:color="auto" w:frame="1"/>
          <w:shd w:val="clear" w:color="auto" w:fill="FFFFFF"/>
          <w:lang w:val="en-US"/>
        </w:rPr>
        <w:t xml:space="preserve">down  a small branch or operating unit might </w:t>
      </w:r>
      <w:r w:rsidR="00075A3B">
        <w:rPr>
          <w:rStyle w:val="Strk"/>
          <w:rFonts w:ascii="Arial" w:hAnsi="Arial" w:cs="Arial"/>
          <w:b w:val="0"/>
          <w:bdr w:val="none" w:sz="0" w:space="0" w:color="auto" w:frame="1"/>
          <w:shd w:val="clear" w:color="auto" w:fill="FFFFFF"/>
          <w:lang w:val="en-US"/>
        </w:rPr>
        <w:t xml:space="preserve">trigger </w:t>
      </w:r>
      <w:r w:rsidRPr="004B3AB3">
        <w:rPr>
          <w:rStyle w:val="Strk"/>
          <w:rFonts w:ascii="Arial" w:hAnsi="Arial" w:cs="Arial"/>
          <w:b w:val="0"/>
          <w:bdr w:val="none" w:sz="0" w:space="0" w:color="auto" w:frame="1"/>
          <w:shd w:val="clear" w:color="auto" w:fill="FFFFFF"/>
          <w:lang w:val="en-US"/>
        </w:rPr>
        <w:t xml:space="preserve">a duty to inform and consult </w:t>
      </w:r>
      <w:r w:rsidR="00075A3B">
        <w:rPr>
          <w:rStyle w:val="Strk"/>
          <w:rFonts w:ascii="Arial" w:hAnsi="Arial" w:cs="Arial"/>
          <w:b w:val="0"/>
          <w:bdr w:val="none" w:sz="0" w:space="0" w:color="auto" w:frame="1"/>
          <w:shd w:val="clear" w:color="auto" w:fill="FFFFFF"/>
          <w:lang w:val="en-US"/>
        </w:rPr>
        <w:t xml:space="preserve">with </w:t>
      </w:r>
      <w:r w:rsidRPr="004B3AB3">
        <w:rPr>
          <w:rStyle w:val="Strk"/>
          <w:rFonts w:ascii="Arial" w:hAnsi="Arial" w:cs="Arial"/>
          <w:b w:val="0"/>
          <w:bdr w:val="none" w:sz="0" w:space="0" w:color="auto" w:frame="1"/>
          <w:shd w:val="clear" w:color="auto" w:fill="FFFFFF"/>
          <w:lang w:val="en-US"/>
        </w:rPr>
        <w:t>the employees.</w:t>
      </w:r>
    </w:p>
    <w:p w:rsidR="00035B54" w:rsidRPr="004B3AB3" w:rsidRDefault="00035B54" w:rsidP="00B06B52">
      <w:pPr>
        <w:rPr>
          <w:rStyle w:val="Strk"/>
          <w:rFonts w:ascii="Arial" w:hAnsi="Arial" w:cs="Arial"/>
          <w:b w:val="0"/>
          <w:bdr w:val="none" w:sz="0" w:space="0" w:color="auto" w:frame="1"/>
          <w:shd w:val="clear" w:color="auto" w:fill="FFFFFF"/>
          <w:lang w:val="en-US"/>
        </w:rPr>
      </w:pPr>
      <w:r w:rsidRPr="004B3AB3">
        <w:rPr>
          <w:rStyle w:val="Strk"/>
          <w:rFonts w:ascii="Arial" w:hAnsi="Arial" w:cs="Arial"/>
          <w:b w:val="0"/>
          <w:bdr w:val="none" w:sz="0" w:space="0" w:color="auto" w:frame="1"/>
          <w:shd w:val="clear" w:color="auto" w:fill="FFFFFF"/>
          <w:lang w:val="en-US"/>
        </w:rPr>
        <w:t xml:space="preserve">Furthermore, companies </w:t>
      </w:r>
      <w:r w:rsidR="00075A3B">
        <w:rPr>
          <w:rStyle w:val="Strk"/>
          <w:rFonts w:ascii="Arial" w:hAnsi="Arial" w:cs="Arial"/>
          <w:b w:val="0"/>
          <w:bdr w:val="none" w:sz="0" w:space="0" w:color="auto" w:frame="1"/>
          <w:shd w:val="clear" w:color="auto" w:fill="FFFFFF"/>
          <w:lang w:val="en-US"/>
        </w:rPr>
        <w:t xml:space="preserve">should </w:t>
      </w:r>
      <w:r w:rsidRPr="004B3AB3">
        <w:rPr>
          <w:rStyle w:val="Strk"/>
          <w:rFonts w:ascii="Arial" w:hAnsi="Arial" w:cs="Arial"/>
          <w:b w:val="0"/>
          <w:bdr w:val="none" w:sz="0" w:space="0" w:color="auto" w:frame="1"/>
          <w:shd w:val="clear" w:color="auto" w:fill="FFFFFF"/>
          <w:lang w:val="en-US"/>
        </w:rPr>
        <w:t xml:space="preserve">be aware that fixed-term </w:t>
      </w:r>
      <w:r w:rsidR="00075A3B">
        <w:rPr>
          <w:rStyle w:val="Strk"/>
          <w:rFonts w:ascii="Arial" w:hAnsi="Arial" w:cs="Arial"/>
          <w:b w:val="0"/>
          <w:bdr w:val="none" w:sz="0" w:space="0" w:color="auto" w:frame="1"/>
          <w:shd w:val="clear" w:color="auto" w:fill="FFFFFF"/>
          <w:lang w:val="en-US"/>
        </w:rPr>
        <w:t xml:space="preserve">employees </w:t>
      </w:r>
      <w:r w:rsidRPr="004B3AB3">
        <w:rPr>
          <w:rStyle w:val="Strk"/>
          <w:rFonts w:ascii="Arial" w:hAnsi="Arial" w:cs="Arial"/>
          <w:b w:val="0"/>
          <w:bdr w:val="none" w:sz="0" w:space="0" w:color="auto" w:frame="1"/>
          <w:shd w:val="clear" w:color="auto" w:fill="FFFFFF"/>
          <w:lang w:val="en-US"/>
        </w:rPr>
        <w:t xml:space="preserve">in some cases are to be included </w:t>
      </w:r>
      <w:r w:rsidR="00075A3B">
        <w:rPr>
          <w:rStyle w:val="Strk"/>
          <w:rFonts w:ascii="Arial" w:hAnsi="Arial" w:cs="Arial"/>
          <w:b w:val="0"/>
          <w:bdr w:val="none" w:sz="0" w:space="0" w:color="auto" w:frame="1"/>
          <w:shd w:val="clear" w:color="auto" w:fill="FFFFFF"/>
          <w:lang w:val="en-US"/>
        </w:rPr>
        <w:t xml:space="preserve">in </w:t>
      </w:r>
      <w:r w:rsidRPr="004B3AB3">
        <w:rPr>
          <w:rStyle w:val="Strk"/>
          <w:rFonts w:ascii="Arial" w:hAnsi="Arial" w:cs="Arial"/>
          <w:b w:val="0"/>
          <w:bdr w:val="none" w:sz="0" w:space="0" w:color="auto" w:frame="1"/>
          <w:shd w:val="clear" w:color="auto" w:fill="FFFFFF"/>
          <w:lang w:val="en-US"/>
        </w:rPr>
        <w:t>the number of inten</w:t>
      </w:r>
      <w:r w:rsidR="00075A3B">
        <w:rPr>
          <w:rStyle w:val="Strk"/>
          <w:rFonts w:ascii="Arial" w:hAnsi="Arial" w:cs="Arial"/>
          <w:b w:val="0"/>
          <w:bdr w:val="none" w:sz="0" w:space="0" w:color="auto" w:frame="1"/>
          <w:shd w:val="clear" w:color="auto" w:fill="FFFFFF"/>
          <w:lang w:val="en-US"/>
        </w:rPr>
        <w:t>d</w:t>
      </w:r>
      <w:r w:rsidRPr="004B3AB3">
        <w:rPr>
          <w:rStyle w:val="Strk"/>
          <w:rFonts w:ascii="Arial" w:hAnsi="Arial" w:cs="Arial"/>
          <w:b w:val="0"/>
          <w:bdr w:val="none" w:sz="0" w:space="0" w:color="auto" w:frame="1"/>
          <w:shd w:val="clear" w:color="auto" w:fill="FFFFFF"/>
          <w:lang w:val="en-US"/>
        </w:rPr>
        <w:t>ed dismissals in connection with a round of layoffs</w:t>
      </w:r>
      <w:r w:rsidR="008D286C" w:rsidRPr="004B3AB3">
        <w:rPr>
          <w:rStyle w:val="Strk"/>
          <w:rFonts w:ascii="Arial" w:hAnsi="Arial" w:cs="Arial"/>
          <w:b w:val="0"/>
          <w:bdr w:val="none" w:sz="0" w:space="0" w:color="auto" w:frame="1"/>
          <w:shd w:val="clear" w:color="auto" w:fill="FFFFFF"/>
          <w:lang w:val="en-US"/>
        </w:rPr>
        <w:t>.</w:t>
      </w:r>
    </w:p>
    <w:p w:rsidR="00075A3B" w:rsidRDefault="00075A3B" w:rsidP="00075A3B">
      <w:pPr>
        <w:rPr>
          <w:rStyle w:val="Strk"/>
          <w:rFonts w:ascii="Arial" w:hAnsi="Arial" w:cs="Arial"/>
          <w:b w:val="0"/>
          <w:bdr w:val="none" w:sz="0" w:space="0" w:color="auto" w:frame="1"/>
          <w:shd w:val="clear" w:color="auto" w:fill="FFFFFF"/>
          <w:lang w:val="en-US"/>
        </w:rPr>
      </w:pPr>
    </w:p>
    <w:p w:rsidR="008609D7" w:rsidRPr="00751294" w:rsidRDefault="00075A3B" w:rsidP="00075A3B">
      <w:pPr>
        <w:rPr>
          <w:rFonts w:ascii="Arial" w:hAnsi="Arial" w:cs="Arial"/>
          <w:bCs/>
          <w:bdr w:val="none" w:sz="0" w:space="0" w:color="auto" w:frame="1"/>
          <w:shd w:val="clear" w:color="auto" w:fill="FFFFFF"/>
          <w:lang w:val="en-US"/>
        </w:rPr>
      </w:pPr>
      <w:r w:rsidRPr="0002086B">
        <w:rPr>
          <w:rStyle w:val="Strk"/>
          <w:rFonts w:ascii="Arial" w:hAnsi="Arial" w:cs="Arial"/>
          <w:b w:val="0"/>
          <w:bdr w:val="none" w:sz="0" w:space="0" w:color="auto" w:frame="1"/>
          <w:shd w:val="clear" w:color="auto" w:fill="FFFFFF"/>
          <w:lang w:val="en-US"/>
        </w:rPr>
        <w:t>[</w:t>
      </w:r>
      <w:r w:rsidR="00751294">
        <w:rPr>
          <w:rStyle w:val="Strk"/>
          <w:rFonts w:ascii="Arial" w:hAnsi="Arial" w:cs="Arial"/>
          <w:b w:val="0"/>
          <w:bdr w:val="none" w:sz="0" w:space="0" w:color="auto" w:frame="1"/>
          <w:shd w:val="clear" w:color="auto" w:fill="FFFFFF"/>
          <w:lang w:val="en-US"/>
        </w:rPr>
        <w:t>C</w:t>
      </w:r>
      <w:r w:rsidR="00DB7F38" w:rsidRPr="0002086B">
        <w:rPr>
          <w:rStyle w:val="Strk"/>
          <w:rFonts w:ascii="Arial" w:hAnsi="Arial" w:cs="Arial"/>
          <w:b w:val="0"/>
          <w:bdr w:val="none" w:sz="0" w:space="0" w:color="auto" w:frame="1"/>
          <w:shd w:val="clear" w:color="auto" w:fill="FFFFFF"/>
          <w:lang w:val="en-US"/>
        </w:rPr>
        <w:t xml:space="preserve">ases C-182/13 and </w:t>
      </w:r>
      <w:r w:rsidR="00751294">
        <w:rPr>
          <w:rStyle w:val="Strk"/>
          <w:rFonts w:ascii="Arial" w:hAnsi="Arial" w:cs="Arial"/>
          <w:b w:val="0"/>
          <w:bdr w:val="none" w:sz="0" w:space="0" w:color="auto" w:frame="1"/>
          <w:shd w:val="clear" w:color="auto" w:fill="FFFFFF"/>
          <w:lang w:val="en-US"/>
        </w:rPr>
        <w:t>C-392/13,</w:t>
      </w:r>
      <w:r w:rsidR="00DB7F38" w:rsidRPr="0002086B">
        <w:rPr>
          <w:rStyle w:val="Strk"/>
          <w:rFonts w:ascii="Arial" w:hAnsi="Arial" w:cs="Arial"/>
          <w:b w:val="0"/>
          <w:bdr w:val="none" w:sz="0" w:space="0" w:color="auto" w:frame="1"/>
          <w:shd w:val="clear" w:color="auto" w:fill="FFFFFF"/>
          <w:lang w:val="en-US"/>
        </w:rPr>
        <w:t xml:space="preserve"> EU Court of Justice</w:t>
      </w:r>
      <w:r w:rsidR="00751294">
        <w:rPr>
          <w:rStyle w:val="Strk"/>
          <w:rFonts w:ascii="Arial" w:hAnsi="Arial" w:cs="Arial"/>
          <w:b w:val="0"/>
          <w:bdr w:val="none" w:sz="0" w:space="0" w:color="auto" w:frame="1"/>
          <w:shd w:val="clear" w:color="auto" w:fill="FFFFFF"/>
          <w:lang w:val="en-US"/>
        </w:rPr>
        <w:t xml:space="preserve">, </w:t>
      </w:r>
      <w:r w:rsidR="00DB7F38" w:rsidRPr="0002086B">
        <w:rPr>
          <w:rStyle w:val="Strk"/>
          <w:rFonts w:ascii="Arial" w:hAnsi="Arial" w:cs="Arial"/>
          <w:b w:val="0"/>
          <w:bdr w:val="none" w:sz="0" w:space="0" w:color="auto" w:frame="1"/>
          <w:shd w:val="clear" w:color="auto" w:fill="FFFFFF"/>
          <w:lang w:val="en-US"/>
        </w:rPr>
        <w:t>13 May 2015</w:t>
      </w:r>
      <w:r w:rsidRPr="0002086B">
        <w:rPr>
          <w:rStyle w:val="Strk"/>
          <w:rFonts w:ascii="Arial" w:hAnsi="Arial" w:cs="Arial"/>
          <w:b w:val="0"/>
          <w:bdr w:val="none" w:sz="0" w:space="0" w:color="auto" w:frame="1"/>
          <w:shd w:val="clear" w:color="auto" w:fill="FFFFFF"/>
          <w:lang w:val="en-US"/>
        </w:rPr>
        <w:t>]</w:t>
      </w:r>
    </w:p>
    <w:sectPr w:rsidR="008609D7" w:rsidRPr="007512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1E"/>
    <w:rsid w:val="0002086B"/>
    <w:rsid w:val="00022E6A"/>
    <w:rsid w:val="00035B54"/>
    <w:rsid w:val="0006248E"/>
    <w:rsid w:val="00075A3B"/>
    <w:rsid w:val="00080F5B"/>
    <w:rsid w:val="00097C02"/>
    <w:rsid w:val="001E497C"/>
    <w:rsid w:val="00207989"/>
    <w:rsid w:val="002772EA"/>
    <w:rsid w:val="002D114A"/>
    <w:rsid w:val="002D64A3"/>
    <w:rsid w:val="00327EC1"/>
    <w:rsid w:val="00360EE2"/>
    <w:rsid w:val="003A6F8A"/>
    <w:rsid w:val="00436FD1"/>
    <w:rsid w:val="00486580"/>
    <w:rsid w:val="004A1563"/>
    <w:rsid w:val="004B1789"/>
    <w:rsid w:val="004B3AB3"/>
    <w:rsid w:val="00507BBA"/>
    <w:rsid w:val="00562FB6"/>
    <w:rsid w:val="00577B68"/>
    <w:rsid w:val="0059751E"/>
    <w:rsid w:val="005B7BEB"/>
    <w:rsid w:val="00687854"/>
    <w:rsid w:val="00712861"/>
    <w:rsid w:val="00723BB9"/>
    <w:rsid w:val="00751294"/>
    <w:rsid w:val="007516B5"/>
    <w:rsid w:val="00791C60"/>
    <w:rsid w:val="008609D7"/>
    <w:rsid w:val="00864F86"/>
    <w:rsid w:val="008A6AE3"/>
    <w:rsid w:val="008D286C"/>
    <w:rsid w:val="009472F5"/>
    <w:rsid w:val="00990647"/>
    <w:rsid w:val="009C1620"/>
    <w:rsid w:val="00A162DA"/>
    <w:rsid w:val="00AA45C8"/>
    <w:rsid w:val="00AB5C2C"/>
    <w:rsid w:val="00B06B52"/>
    <w:rsid w:val="00B92A50"/>
    <w:rsid w:val="00B9386A"/>
    <w:rsid w:val="00BB1BF0"/>
    <w:rsid w:val="00BB653B"/>
    <w:rsid w:val="00BD58D5"/>
    <w:rsid w:val="00CB71A6"/>
    <w:rsid w:val="00CC549B"/>
    <w:rsid w:val="00CE0E34"/>
    <w:rsid w:val="00DB4E1E"/>
    <w:rsid w:val="00DB7F38"/>
    <w:rsid w:val="00DF5EE2"/>
    <w:rsid w:val="00E24706"/>
    <w:rsid w:val="00E815EF"/>
    <w:rsid w:val="00EA0542"/>
    <w:rsid w:val="00F51F9E"/>
    <w:rsid w:val="00F84E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60E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360EE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8609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360EE2"/>
  </w:style>
  <w:style w:type="character" w:styleId="Strk">
    <w:name w:val="Strong"/>
    <w:basedOn w:val="Standardskrifttypeiafsnit"/>
    <w:uiPriority w:val="22"/>
    <w:qFormat/>
    <w:rsid w:val="00360EE2"/>
    <w:rPr>
      <w:b/>
      <w:bCs/>
    </w:rPr>
  </w:style>
  <w:style w:type="character" w:customStyle="1" w:styleId="Overskrift2Tegn">
    <w:name w:val="Overskrift 2 Tegn"/>
    <w:basedOn w:val="Standardskrifttypeiafsnit"/>
    <w:link w:val="Overskrift2"/>
    <w:uiPriority w:val="9"/>
    <w:rsid w:val="00360EE2"/>
    <w:rPr>
      <w:rFonts w:ascii="Times New Roman" w:eastAsia="Times New Roman" w:hAnsi="Times New Roman" w:cs="Times New Roman"/>
      <w:b/>
      <w:bCs/>
      <w:sz w:val="36"/>
      <w:szCs w:val="36"/>
      <w:lang w:eastAsia="da-DK"/>
    </w:rPr>
  </w:style>
  <w:style w:type="character" w:customStyle="1" w:styleId="Overskrift1Tegn">
    <w:name w:val="Overskrift 1 Tegn"/>
    <w:basedOn w:val="Standardskrifttypeiafsnit"/>
    <w:link w:val="Overskrift1"/>
    <w:uiPriority w:val="9"/>
    <w:rsid w:val="00360EE2"/>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BB1BF0"/>
    <w:rPr>
      <w:color w:val="0000FF"/>
      <w:u w:val="single"/>
    </w:rPr>
  </w:style>
  <w:style w:type="character" w:styleId="BesgtHyperlink">
    <w:name w:val="FollowedHyperlink"/>
    <w:basedOn w:val="Standardskrifttypeiafsnit"/>
    <w:uiPriority w:val="99"/>
    <w:semiHidden/>
    <w:unhideWhenUsed/>
    <w:rsid w:val="00BB1BF0"/>
    <w:rPr>
      <w:color w:val="800080" w:themeColor="followedHyperlink"/>
      <w:u w:val="single"/>
    </w:rPr>
  </w:style>
  <w:style w:type="paragraph" w:styleId="Markeringsbobletekst">
    <w:name w:val="Balloon Text"/>
    <w:basedOn w:val="Normal"/>
    <w:link w:val="MarkeringsbobletekstTegn"/>
    <w:uiPriority w:val="99"/>
    <w:semiHidden/>
    <w:unhideWhenUsed/>
    <w:rsid w:val="00075A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5A3B"/>
    <w:rPr>
      <w:rFonts w:ascii="Tahoma" w:hAnsi="Tahoma" w:cs="Tahoma"/>
      <w:sz w:val="16"/>
      <w:szCs w:val="16"/>
    </w:rPr>
  </w:style>
  <w:style w:type="character" w:customStyle="1" w:styleId="Overskrift3Tegn">
    <w:name w:val="Overskrift 3 Tegn"/>
    <w:basedOn w:val="Standardskrifttypeiafsnit"/>
    <w:link w:val="Overskrift3"/>
    <w:uiPriority w:val="9"/>
    <w:semiHidden/>
    <w:rsid w:val="008609D7"/>
    <w:rPr>
      <w:rFonts w:asciiTheme="majorHAnsi" w:eastAsiaTheme="majorEastAsia" w:hAnsiTheme="majorHAnsi" w:cstheme="majorBidi"/>
      <w:b/>
      <w:bCs/>
      <w:color w:val="4F81BD" w:themeColor="accent1"/>
    </w:rPr>
  </w:style>
  <w:style w:type="character" w:customStyle="1" w:styleId="mc-toc-title">
    <w:name w:val="mc-toc-title"/>
    <w:basedOn w:val="Standardskrifttypeiafsnit"/>
    <w:rsid w:val="00860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60E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360EE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8609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360EE2"/>
  </w:style>
  <w:style w:type="character" w:styleId="Strk">
    <w:name w:val="Strong"/>
    <w:basedOn w:val="Standardskrifttypeiafsnit"/>
    <w:uiPriority w:val="22"/>
    <w:qFormat/>
    <w:rsid w:val="00360EE2"/>
    <w:rPr>
      <w:b/>
      <w:bCs/>
    </w:rPr>
  </w:style>
  <w:style w:type="character" w:customStyle="1" w:styleId="Overskrift2Tegn">
    <w:name w:val="Overskrift 2 Tegn"/>
    <w:basedOn w:val="Standardskrifttypeiafsnit"/>
    <w:link w:val="Overskrift2"/>
    <w:uiPriority w:val="9"/>
    <w:rsid w:val="00360EE2"/>
    <w:rPr>
      <w:rFonts w:ascii="Times New Roman" w:eastAsia="Times New Roman" w:hAnsi="Times New Roman" w:cs="Times New Roman"/>
      <w:b/>
      <w:bCs/>
      <w:sz w:val="36"/>
      <w:szCs w:val="36"/>
      <w:lang w:eastAsia="da-DK"/>
    </w:rPr>
  </w:style>
  <w:style w:type="character" w:customStyle="1" w:styleId="Overskrift1Tegn">
    <w:name w:val="Overskrift 1 Tegn"/>
    <w:basedOn w:val="Standardskrifttypeiafsnit"/>
    <w:link w:val="Overskrift1"/>
    <w:uiPriority w:val="9"/>
    <w:rsid w:val="00360EE2"/>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BB1BF0"/>
    <w:rPr>
      <w:color w:val="0000FF"/>
      <w:u w:val="single"/>
    </w:rPr>
  </w:style>
  <w:style w:type="character" w:styleId="BesgtHyperlink">
    <w:name w:val="FollowedHyperlink"/>
    <w:basedOn w:val="Standardskrifttypeiafsnit"/>
    <w:uiPriority w:val="99"/>
    <w:semiHidden/>
    <w:unhideWhenUsed/>
    <w:rsid w:val="00BB1BF0"/>
    <w:rPr>
      <w:color w:val="800080" w:themeColor="followedHyperlink"/>
      <w:u w:val="single"/>
    </w:rPr>
  </w:style>
  <w:style w:type="paragraph" w:styleId="Markeringsbobletekst">
    <w:name w:val="Balloon Text"/>
    <w:basedOn w:val="Normal"/>
    <w:link w:val="MarkeringsbobletekstTegn"/>
    <w:uiPriority w:val="99"/>
    <w:semiHidden/>
    <w:unhideWhenUsed/>
    <w:rsid w:val="00075A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5A3B"/>
    <w:rPr>
      <w:rFonts w:ascii="Tahoma" w:hAnsi="Tahoma" w:cs="Tahoma"/>
      <w:sz w:val="16"/>
      <w:szCs w:val="16"/>
    </w:rPr>
  </w:style>
  <w:style w:type="character" w:customStyle="1" w:styleId="Overskrift3Tegn">
    <w:name w:val="Overskrift 3 Tegn"/>
    <w:basedOn w:val="Standardskrifttypeiafsnit"/>
    <w:link w:val="Overskrift3"/>
    <w:uiPriority w:val="9"/>
    <w:semiHidden/>
    <w:rsid w:val="008609D7"/>
    <w:rPr>
      <w:rFonts w:asciiTheme="majorHAnsi" w:eastAsiaTheme="majorEastAsia" w:hAnsiTheme="majorHAnsi" w:cstheme="majorBidi"/>
      <w:b/>
      <w:bCs/>
      <w:color w:val="4F81BD" w:themeColor="accent1"/>
    </w:rPr>
  </w:style>
  <w:style w:type="character" w:customStyle="1" w:styleId="mc-toc-title">
    <w:name w:val="mc-toc-title"/>
    <w:basedOn w:val="Standardskrifttypeiafsnit"/>
    <w:rsid w:val="0086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2442">
      <w:bodyDiv w:val="1"/>
      <w:marLeft w:val="0"/>
      <w:marRight w:val="0"/>
      <w:marTop w:val="0"/>
      <w:marBottom w:val="0"/>
      <w:divBdr>
        <w:top w:val="none" w:sz="0" w:space="0" w:color="auto"/>
        <w:left w:val="none" w:sz="0" w:space="0" w:color="auto"/>
        <w:bottom w:val="none" w:sz="0" w:space="0" w:color="auto"/>
        <w:right w:val="none" w:sz="0" w:space="0" w:color="auto"/>
      </w:divBdr>
    </w:div>
    <w:div w:id="46342164">
      <w:bodyDiv w:val="1"/>
      <w:marLeft w:val="0"/>
      <w:marRight w:val="0"/>
      <w:marTop w:val="0"/>
      <w:marBottom w:val="0"/>
      <w:divBdr>
        <w:top w:val="none" w:sz="0" w:space="0" w:color="auto"/>
        <w:left w:val="none" w:sz="0" w:space="0" w:color="auto"/>
        <w:bottom w:val="none" w:sz="0" w:space="0" w:color="auto"/>
        <w:right w:val="none" w:sz="0" w:space="0" w:color="auto"/>
      </w:divBdr>
    </w:div>
    <w:div w:id="200631500">
      <w:bodyDiv w:val="1"/>
      <w:marLeft w:val="0"/>
      <w:marRight w:val="0"/>
      <w:marTop w:val="0"/>
      <w:marBottom w:val="0"/>
      <w:divBdr>
        <w:top w:val="none" w:sz="0" w:space="0" w:color="auto"/>
        <w:left w:val="none" w:sz="0" w:space="0" w:color="auto"/>
        <w:bottom w:val="none" w:sz="0" w:space="0" w:color="auto"/>
        <w:right w:val="none" w:sz="0" w:space="0" w:color="auto"/>
      </w:divBdr>
    </w:div>
    <w:div w:id="289476821">
      <w:bodyDiv w:val="1"/>
      <w:marLeft w:val="0"/>
      <w:marRight w:val="0"/>
      <w:marTop w:val="0"/>
      <w:marBottom w:val="0"/>
      <w:divBdr>
        <w:top w:val="none" w:sz="0" w:space="0" w:color="auto"/>
        <w:left w:val="none" w:sz="0" w:space="0" w:color="auto"/>
        <w:bottom w:val="none" w:sz="0" w:space="0" w:color="auto"/>
        <w:right w:val="none" w:sz="0" w:space="0" w:color="auto"/>
      </w:divBdr>
    </w:div>
    <w:div w:id="414404325">
      <w:bodyDiv w:val="1"/>
      <w:marLeft w:val="0"/>
      <w:marRight w:val="0"/>
      <w:marTop w:val="0"/>
      <w:marBottom w:val="0"/>
      <w:divBdr>
        <w:top w:val="none" w:sz="0" w:space="0" w:color="auto"/>
        <w:left w:val="none" w:sz="0" w:space="0" w:color="auto"/>
        <w:bottom w:val="none" w:sz="0" w:space="0" w:color="auto"/>
        <w:right w:val="none" w:sz="0" w:space="0" w:color="auto"/>
      </w:divBdr>
    </w:div>
    <w:div w:id="709115726">
      <w:bodyDiv w:val="1"/>
      <w:marLeft w:val="0"/>
      <w:marRight w:val="0"/>
      <w:marTop w:val="0"/>
      <w:marBottom w:val="0"/>
      <w:divBdr>
        <w:top w:val="none" w:sz="0" w:space="0" w:color="auto"/>
        <w:left w:val="none" w:sz="0" w:space="0" w:color="auto"/>
        <w:bottom w:val="none" w:sz="0" w:space="0" w:color="auto"/>
        <w:right w:val="none" w:sz="0" w:space="0" w:color="auto"/>
      </w:divBdr>
    </w:div>
    <w:div w:id="756711392">
      <w:bodyDiv w:val="1"/>
      <w:marLeft w:val="0"/>
      <w:marRight w:val="0"/>
      <w:marTop w:val="0"/>
      <w:marBottom w:val="0"/>
      <w:divBdr>
        <w:top w:val="none" w:sz="0" w:space="0" w:color="auto"/>
        <w:left w:val="none" w:sz="0" w:space="0" w:color="auto"/>
        <w:bottom w:val="none" w:sz="0" w:space="0" w:color="auto"/>
        <w:right w:val="none" w:sz="0" w:space="0" w:color="auto"/>
      </w:divBdr>
    </w:div>
    <w:div w:id="995571202">
      <w:bodyDiv w:val="1"/>
      <w:marLeft w:val="0"/>
      <w:marRight w:val="0"/>
      <w:marTop w:val="0"/>
      <w:marBottom w:val="0"/>
      <w:divBdr>
        <w:top w:val="none" w:sz="0" w:space="0" w:color="auto"/>
        <w:left w:val="none" w:sz="0" w:space="0" w:color="auto"/>
        <w:bottom w:val="none" w:sz="0" w:space="0" w:color="auto"/>
        <w:right w:val="none" w:sz="0" w:space="0" w:color="auto"/>
      </w:divBdr>
    </w:div>
    <w:div w:id="1140657348">
      <w:bodyDiv w:val="1"/>
      <w:marLeft w:val="0"/>
      <w:marRight w:val="0"/>
      <w:marTop w:val="0"/>
      <w:marBottom w:val="0"/>
      <w:divBdr>
        <w:top w:val="none" w:sz="0" w:space="0" w:color="auto"/>
        <w:left w:val="none" w:sz="0" w:space="0" w:color="auto"/>
        <w:bottom w:val="none" w:sz="0" w:space="0" w:color="auto"/>
        <w:right w:val="none" w:sz="0" w:space="0" w:color="auto"/>
      </w:divBdr>
    </w:div>
    <w:div w:id="1150287890">
      <w:bodyDiv w:val="1"/>
      <w:marLeft w:val="0"/>
      <w:marRight w:val="0"/>
      <w:marTop w:val="0"/>
      <w:marBottom w:val="0"/>
      <w:divBdr>
        <w:top w:val="none" w:sz="0" w:space="0" w:color="auto"/>
        <w:left w:val="none" w:sz="0" w:space="0" w:color="auto"/>
        <w:bottom w:val="none" w:sz="0" w:space="0" w:color="auto"/>
        <w:right w:val="none" w:sz="0" w:space="0" w:color="auto"/>
      </w:divBdr>
    </w:div>
    <w:div w:id="1161582985">
      <w:bodyDiv w:val="1"/>
      <w:marLeft w:val="0"/>
      <w:marRight w:val="0"/>
      <w:marTop w:val="0"/>
      <w:marBottom w:val="0"/>
      <w:divBdr>
        <w:top w:val="none" w:sz="0" w:space="0" w:color="auto"/>
        <w:left w:val="none" w:sz="0" w:space="0" w:color="auto"/>
        <w:bottom w:val="none" w:sz="0" w:space="0" w:color="auto"/>
        <w:right w:val="none" w:sz="0" w:space="0" w:color="auto"/>
      </w:divBdr>
    </w:div>
    <w:div w:id="1338579667">
      <w:bodyDiv w:val="1"/>
      <w:marLeft w:val="0"/>
      <w:marRight w:val="0"/>
      <w:marTop w:val="0"/>
      <w:marBottom w:val="0"/>
      <w:divBdr>
        <w:top w:val="none" w:sz="0" w:space="0" w:color="auto"/>
        <w:left w:val="none" w:sz="0" w:space="0" w:color="auto"/>
        <w:bottom w:val="none" w:sz="0" w:space="0" w:color="auto"/>
        <w:right w:val="none" w:sz="0" w:space="0" w:color="auto"/>
      </w:divBdr>
    </w:div>
    <w:div w:id="1462652731">
      <w:bodyDiv w:val="1"/>
      <w:marLeft w:val="0"/>
      <w:marRight w:val="0"/>
      <w:marTop w:val="0"/>
      <w:marBottom w:val="0"/>
      <w:divBdr>
        <w:top w:val="none" w:sz="0" w:space="0" w:color="auto"/>
        <w:left w:val="none" w:sz="0" w:space="0" w:color="auto"/>
        <w:bottom w:val="none" w:sz="0" w:space="0" w:color="auto"/>
        <w:right w:val="none" w:sz="0" w:space="0" w:color="auto"/>
      </w:divBdr>
    </w:div>
    <w:div w:id="1721241851">
      <w:bodyDiv w:val="1"/>
      <w:marLeft w:val="0"/>
      <w:marRight w:val="0"/>
      <w:marTop w:val="0"/>
      <w:marBottom w:val="0"/>
      <w:divBdr>
        <w:top w:val="none" w:sz="0" w:space="0" w:color="auto"/>
        <w:left w:val="none" w:sz="0" w:space="0" w:color="auto"/>
        <w:bottom w:val="none" w:sz="0" w:space="0" w:color="auto"/>
        <w:right w:val="none" w:sz="0" w:space="0" w:color="auto"/>
      </w:divBdr>
    </w:div>
    <w:div w:id="1826240385">
      <w:bodyDiv w:val="1"/>
      <w:marLeft w:val="0"/>
      <w:marRight w:val="0"/>
      <w:marTop w:val="0"/>
      <w:marBottom w:val="0"/>
      <w:divBdr>
        <w:top w:val="none" w:sz="0" w:space="0" w:color="auto"/>
        <w:left w:val="none" w:sz="0" w:space="0" w:color="auto"/>
        <w:bottom w:val="none" w:sz="0" w:space="0" w:color="auto"/>
        <w:right w:val="none" w:sz="0" w:space="0" w:color="auto"/>
      </w:divBdr>
    </w:div>
    <w:div w:id="19942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Pages>
  <Words>747</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Gjedsted Østergård</dc:creator>
  <cp:keywords/>
  <dc:description/>
  <cp:lastModifiedBy>Tine Gjedsted Østergård</cp:lastModifiedBy>
  <cp:revision>39</cp:revision>
  <cp:lastPrinted>2015-06-03T12:36:00Z</cp:lastPrinted>
  <dcterms:created xsi:type="dcterms:W3CDTF">2015-05-29T13:41:00Z</dcterms:created>
  <dcterms:modified xsi:type="dcterms:W3CDTF">2015-06-23T13:02:00Z</dcterms:modified>
</cp:coreProperties>
</file>